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FF76" w14:textId="0E00B1EB" w:rsidR="008D7065" w:rsidRDefault="00FC79DF" w:rsidP="009B5445">
      <w:pPr>
        <w:pBdr>
          <w:top w:val="single" w:sz="4" w:space="1" w:color="auto"/>
          <w:left w:val="single" w:sz="4" w:space="4" w:color="auto"/>
          <w:bottom w:val="single" w:sz="4" w:space="1" w:color="auto"/>
          <w:right w:val="single" w:sz="4" w:space="4" w:color="auto"/>
        </w:pBdr>
        <w:rPr>
          <w:sz w:val="24"/>
          <w:szCs w:val="24"/>
        </w:rPr>
      </w:pPr>
      <w:r>
        <w:rPr>
          <w:b/>
          <w:sz w:val="24"/>
          <w:szCs w:val="24"/>
        </w:rPr>
        <w:t>T</w:t>
      </w:r>
      <w:r w:rsidR="00267235" w:rsidRPr="00B30967">
        <w:rPr>
          <w:b/>
          <w:sz w:val="24"/>
          <w:szCs w:val="24"/>
        </w:rPr>
        <w:t>agungsbeitrag zu:</w:t>
      </w:r>
      <w:r w:rsidR="00267235">
        <w:rPr>
          <w:sz w:val="24"/>
          <w:szCs w:val="24"/>
        </w:rPr>
        <w:t xml:space="preserve"> </w:t>
      </w:r>
      <w:r w:rsidR="00084DC5">
        <w:rPr>
          <w:sz w:val="24"/>
          <w:szCs w:val="24"/>
        </w:rPr>
        <w:t xml:space="preserve">Sitzung der </w:t>
      </w:r>
      <w:r w:rsidR="009B5445">
        <w:rPr>
          <w:sz w:val="24"/>
          <w:szCs w:val="24"/>
        </w:rPr>
        <w:t>Kommission I</w:t>
      </w:r>
      <w:r w:rsidR="007F102B">
        <w:rPr>
          <w:sz w:val="24"/>
          <w:szCs w:val="24"/>
        </w:rPr>
        <w:t>V S2.1</w:t>
      </w:r>
      <w:r w:rsidR="00267235">
        <w:rPr>
          <w:sz w:val="24"/>
          <w:szCs w:val="24"/>
        </w:rPr>
        <w:t xml:space="preserve"> </w:t>
      </w:r>
      <w:r w:rsidR="00084DC5">
        <w:rPr>
          <w:sz w:val="24"/>
          <w:szCs w:val="24"/>
        </w:rPr>
        <w:t>der DBG</w:t>
      </w:r>
    </w:p>
    <w:p w14:paraId="67513080" w14:textId="4C1460DB" w:rsidR="009B5445" w:rsidRDefault="009B5445" w:rsidP="009B5445">
      <w:pPr>
        <w:pBdr>
          <w:top w:val="single" w:sz="4" w:space="1" w:color="auto"/>
          <w:left w:val="single" w:sz="4" w:space="4" w:color="auto"/>
          <w:bottom w:val="single" w:sz="4" w:space="1" w:color="auto"/>
          <w:right w:val="single" w:sz="4" w:space="4" w:color="auto"/>
        </w:pBdr>
        <w:rPr>
          <w:sz w:val="24"/>
          <w:szCs w:val="24"/>
        </w:rPr>
      </w:pPr>
      <w:r w:rsidRPr="00F465F9">
        <w:rPr>
          <w:b/>
          <w:sz w:val="24"/>
          <w:szCs w:val="24"/>
        </w:rPr>
        <w:t>Titel der Tagung:</w:t>
      </w:r>
      <w:r>
        <w:rPr>
          <w:sz w:val="24"/>
          <w:szCs w:val="24"/>
        </w:rPr>
        <w:t xml:space="preserve"> </w:t>
      </w:r>
      <w:r w:rsidR="007F102B">
        <w:rPr>
          <w:sz w:val="24"/>
          <w:szCs w:val="24"/>
        </w:rPr>
        <w:t>Erd-Reich und Boden-landschaften</w:t>
      </w:r>
    </w:p>
    <w:p w14:paraId="30BE8826" w14:textId="0ED3059D" w:rsidR="009B5445" w:rsidRDefault="009B5445" w:rsidP="009B5445">
      <w:pPr>
        <w:pBdr>
          <w:top w:val="single" w:sz="4" w:space="1" w:color="auto"/>
          <w:left w:val="single" w:sz="4" w:space="4" w:color="auto"/>
          <w:bottom w:val="single" w:sz="4" w:space="1" w:color="auto"/>
          <w:right w:val="single" w:sz="4" w:space="4" w:color="auto"/>
        </w:pBdr>
        <w:rPr>
          <w:sz w:val="24"/>
          <w:szCs w:val="24"/>
        </w:rPr>
      </w:pPr>
      <w:r w:rsidRPr="00F465F9">
        <w:rPr>
          <w:b/>
          <w:sz w:val="24"/>
          <w:szCs w:val="24"/>
        </w:rPr>
        <w:t>Veranstalter:</w:t>
      </w:r>
      <w:r>
        <w:rPr>
          <w:sz w:val="24"/>
          <w:szCs w:val="24"/>
        </w:rPr>
        <w:t xml:space="preserve"> DBG, </w:t>
      </w:r>
      <w:r w:rsidR="007F102B">
        <w:rPr>
          <w:sz w:val="24"/>
          <w:szCs w:val="24"/>
        </w:rPr>
        <w:t>24</w:t>
      </w:r>
      <w:r>
        <w:rPr>
          <w:sz w:val="24"/>
          <w:szCs w:val="24"/>
        </w:rPr>
        <w:t>.0</w:t>
      </w:r>
      <w:r w:rsidR="007F102B">
        <w:rPr>
          <w:sz w:val="24"/>
          <w:szCs w:val="24"/>
        </w:rPr>
        <w:t>8</w:t>
      </w:r>
      <w:r>
        <w:rPr>
          <w:sz w:val="24"/>
          <w:szCs w:val="24"/>
        </w:rPr>
        <w:t>.-</w:t>
      </w:r>
      <w:r w:rsidR="007F102B">
        <w:rPr>
          <w:sz w:val="24"/>
          <w:szCs w:val="24"/>
        </w:rPr>
        <w:t>29</w:t>
      </w:r>
      <w:r>
        <w:rPr>
          <w:sz w:val="24"/>
          <w:szCs w:val="24"/>
        </w:rPr>
        <w:t>.0</w:t>
      </w:r>
      <w:r w:rsidR="007F102B">
        <w:rPr>
          <w:sz w:val="24"/>
          <w:szCs w:val="24"/>
        </w:rPr>
        <w:t>8</w:t>
      </w:r>
      <w:r>
        <w:rPr>
          <w:sz w:val="24"/>
          <w:szCs w:val="24"/>
        </w:rPr>
        <w:t>.201</w:t>
      </w:r>
      <w:r w:rsidR="007F102B">
        <w:rPr>
          <w:sz w:val="24"/>
          <w:szCs w:val="24"/>
        </w:rPr>
        <w:t>9</w:t>
      </w:r>
      <w:r w:rsidR="00F465F9">
        <w:rPr>
          <w:sz w:val="24"/>
          <w:szCs w:val="24"/>
        </w:rPr>
        <w:t xml:space="preserve"> in</w:t>
      </w:r>
      <w:r>
        <w:rPr>
          <w:sz w:val="24"/>
          <w:szCs w:val="24"/>
        </w:rPr>
        <w:t xml:space="preserve"> </w:t>
      </w:r>
      <w:r w:rsidR="007F102B">
        <w:rPr>
          <w:sz w:val="24"/>
          <w:szCs w:val="24"/>
        </w:rPr>
        <w:t>Bern</w:t>
      </w:r>
    </w:p>
    <w:p w14:paraId="1879F7FE" w14:textId="77777777" w:rsidR="009B5445" w:rsidRDefault="009B5445" w:rsidP="009B5445">
      <w:pPr>
        <w:pBdr>
          <w:top w:val="single" w:sz="4" w:space="1" w:color="auto"/>
          <w:left w:val="single" w:sz="4" w:space="4" w:color="auto"/>
          <w:bottom w:val="single" w:sz="4" w:space="1" w:color="auto"/>
          <w:right w:val="single" w:sz="4" w:space="4" w:color="auto"/>
        </w:pBdr>
        <w:rPr>
          <w:sz w:val="24"/>
          <w:szCs w:val="24"/>
        </w:rPr>
      </w:pPr>
      <w:r>
        <w:rPr>
          <w:sz w:val="24"/>
          <w:szCs w:val="24"/>
        </w:rPr>
        <w:t>Berichte der DBG (nicht begutachtete online Publikation)</w:t>
      </w:r>
    </w:p>
    <w:p w14:paraId="1A2B8B1D" w14:textId="77777777" w:rsidR="009B5445" w:rsidRDefault="00620C0B" w:rsidP="009B5445">
      <w:pPr>
        <w:pBdr>
          <w:top w:val="single" w:sz="4" w:space="1" w:color="auto"/>
          <w:left w:val="single" w:sz="4" w:space="4" w:color="auto"/>
          <w:bottom w:val="single" w:sz="4" w:space="1" w:color="auto"/>
          <w:right w:val="single" w:sz="4" w:space="4" w:color="auto"/>
        </w:pBdr>
        <w:rPr>
          <w:sz w:val="24"/>
          <w:szCs w:val="24"/>
        </w:rPr>
      </w:pPr>
      <w:hyperlink r:id="rId7" w:history="1">
        <w:r w:rsidR="009B5445" w:rsidRPr="005B25E0">
          <w:rPr>
            <w:rStyle w:val="Hyperlink"/>
            <w:sz w:val="24"/>
            <w:szCs w:val="24"/>
          </w:rPr>
          <w:t>http://www.dbges.de</w:t>
        </w:r>
      </w:hyperlink>
      <w:r w:rsidR="009B5445">
        <w:rPr>
          <w:sz w:val="24"/>
          <w:szCs w:val="24"/>
        </w:rPr>
        <w:t xml:space="preserve"> </w:t>
      </w:r>
    </w:p>
    <w:p w14:paraId="1384A816" w14:textId="77777777" w:rsidR="00F67F35" w:rsidRDefault="00F67F35" w:rsidP="009B5445">
      <w:pPr>
        <w:rPr>
          <w:b/>
          <w:sz w:val="24"/>
          <w:szCs w:val="24"/>
        </w:rPr>
      </w:pPr>
    </w:p>
    <w:p w14:paraId="63311195" w14:textId="409D1937" w:rsidR="009B5445" w:rsidRDefault="00565516" w:rsidP="009B5445">
      <w:pPr>
        <w:rPr>
          <w:b/>
          <w:sz w:val="24"/>
          <w:szCs w:val="24"/>
        </w:rPr>
      </w:pPr>
      <w:r>
        <w:rPr>
          <w:b/>
          <w:sz w:val="24"/>
          <w:szCs w:val="24"/>
        </w:rPr>
        <w:t>Stickstoff (N)-Dynamik und N-Verlustquellen bei der Harnstoff-Düngung auf einem Norm-Tschernosem</w:t>
      </w:r>
    </w:p>
    <w:p w14:paraId="6C7C66CE" w14:textId="7A6E9080" w:rsidR="009B5445" w:rsidRDefault="009B5445" w:rsidP="009B5445">
      <w:pPr>
        <w:rPr>
          <w:sz w:val="24"/>
          <w:szCs w:val="24"/>
          <w:vertAlign w:val="superscript"/>
        </w:rPr>
      </w:pPr>
      <w:r w:rsidRPr="009B5445">
        <w:rPr>
          <w:sz w:val="24"/>
          <w:szCs w:val="24"/>
        </w:rPr>
        <w:t>Nadine Tauchnitz</w:t>
      </w:r>
      <w:r w:rsidRPr="009B5445">
        <w:rPr>
          <w:sz w:val="24"/>
          <w:szCs w:val="24"/>
          <w:vertAlign w:val="superscript"/>
        </w:rPr>
        <w:t>1</w:t>
      </w:r>
      <w:r>
        <w:rPr>
          <w:sz w:val="24"/>
          <w:szCs w:val="24"/>
        </w:rPr>
        <w:t xml:space="preserve">, </w:t>
      </w:r>
      <w:r w:rsidR="00565516">
        <w:rPr>
          <w:sz w:val="24"/>
          <w:szCs w:val="24"/>
        </w:rPr>
        <w:t>Florian Eißner</w:t>
      </w:r>
      <w:r w:rsidR="00565516" w:rsidRPr="00565516">
        <w:rPr>
          <w:sz w:val="24"/>
          <w:szCs w:val="24"/>
          <w:vertAlign w:val="superscript"/>
        </w:rPr>
        <w:t>2</w:t>
      </w:r>
      <w:r w:rsidR="00565516">
        <w:rPr>
          <w:sz w:val="24"/>
          <w:szCs w:val="24"/>
        </w:rPr>
        <w:t>, Joachim Bischoff</w:t>
      </w:r>
      <w:r w:rsidR="00565516" w:rsidRPr="00565516">
        <w:rPr>
          <w:sz w:val="24"/>
          <w:szCs w:val="24"/>
          <w:vertAlign w:val="superscript"/>
        </w:rPr>
        <w:t>1</w:t>
      </w:r>
      <w:r w:rsidRPr="009B5445">
        <w:rPr>
          <w:sz w:val="24"/>
          <w:szCs w:val="24"/>
        </w:rPr>
        <w:t>,</w:t>
      </w:r>
      <w:r>
        <w:rPr>
          <w:sz w:val="24"/>
          <w:szCs w:val="24"/>
        </w:rPr>
        <w:t xml:space="preserve"> </w:t>
      </w:r>
      <w:r w:rsidR="003F543E">
        <w:rPr>
          <w:sz w:val="24"/>
          <w:szCs w:val="24"/>
        </w:rPr>
        <w:t>Florian Kurzius</w:t>
      </w:r>
      <w:r w:rsidR="00565516" w:rsidRPr="00565516">
        <w:rPr>
          <w:sz w:val="24"/>
          <w:szCs w:val="24"/>
          <w:vertAlign w:val="superscript"/>
        </w:rPr>
        <w:t>3</w:t>
      </w:r>
      <w:r w:rsidR="003F543E">
        <w:rPr>
          <w:sz w:val="24"/>
          <w:szCs w:val="24"/>
        </w:rPr>
        <w:t xml:space="preserve">, </w:t>
      </w:r>
      <w:r w:rsidR="00565516">
        <w:rPr>
          <w:sz w:val="24"/>
          <w:szCs w:val="24"/>
        </w:rPr>
        <w:t>Olaf Christen</w:t>
      </w:r>
      <w:r w:rsidR="00565516" w:rsidRPr="00565516">
        <w:rPr>
          <w:sz w:val="24"/>
          <w:szCs w:val="24"/>
          <w:vertAlign w:val="superscript"/>
        </w:rPr>
        <w:t>2</w:t>
      </w:r>
      <w:r w:rsidR="00565516">
        <w:rPr>
          <w:sz w:val="24"/>
          <w:szCs w:val="24"/>
        </w:rPr>
        <w:t>, Thomas Kreuter</w:t>
      </w:r>
      <w:r w:rsidR="00565516" w:rsidRPr="00565516">
        <w:rPr>
          <w:sz w:val="24"/>
          <w:szCs w:val="24"/>
          <w:vertAlign w:val="superscript"/>
        </w:rPr>
        <w:t>4</w:t>
      </w:r>
    </w:p>
    <w:p w14:paraId="7B80D954" w14:textId="77777777" w:rsidR="00E81E91" w:rsidRDefault="00E81E91" w:rsidP="007E1CE2">
      <w:pPr>
        <w:pStyle w:val="berschrift3"/>
      </w:pPr>
    </w:p>
    <w:p w14:paraId="191E6C52" w14:textId="77777777" w:rsidR="0056536B" w:rsidRDefault="00E81E91" w:rsidP="007E1CE2">
      <w:pPr>
        <w:pStyle w:val="berschrift3"/>
      </w:pPr>
      <w:r>
        <w:t>Zusammenfassung</w:t>
      </w:r>
    </w:p>
    <w:p w14:paraId="46DDAD81" w14:textId="24945E55" w:rsidR="00C2712A" w:rsidRDefault="00560AAA" w:rsidP="00C2712A">
      <w:pPr>
        <w:spacing w:before="0" w:after="0" w:line="240" w:lineRule="auto"/>
        <w:rPr>
          <w:sz w:val="24"/>
          <w:szCs w:val="24"/>
        </w:rPr>
      </w:pPr>
      <w:r w:rsidRPr="00560AAA">
        <w:rPr>
          <w:sz w:val="24"/>
          <w:szCs w:val="24"/>
        </w:rPr>
        <w:t>Mit dem Hintergrund, die umwelt- und klimapolitischen Ziele zu erreichen, sind Stickstoff(N)-Verluste bei der Düngung durch eine verbesserte N-Effizienz zu minimieren.</w:t>
      </w:r>
      <w:r>
        <w:rPr>
          <w:sz w:val="24"/>
          <w:szCs w:val="24"/>
        </w:rPr>
        <w:t xml:space="preserve"> Im vorliegenden Projekt soll eine Erhöhung der N-Effizienz bei der Harnstoffdüngung durch wurzelnahe Platzierung </w:t>
      </w:r>
      <w:r w:rsidR="00C2712A">
        <w:rPr>
          <w:sz w:val="24"/>
          <w:szCs w:val="24"/>
        </w:rPr>
        <w:t>(Side-Dressing</w:t>
      </w:r>
      <w:r w:rsidR="0022441A">
        <w:rPr>
          <w:sz w:val="24"/>
          <w:szCs w:val="24"/>
        </w:rPr>
        <w:t>-Verfahren</w:t>
      </w:r>
      <w:r w:rsidR="00C2712A">
        <w:rPr>
          <w:sz w:val="24"/>
          <w:szCs w:val="24"/>
        </w:rPr>
        <w:t xml:space="preserve">) </w:t>
      </w:r>
      <w:r>
        <w:rPr>
          <w:sz w:val="24"/>
          <w:szCs w:val="24"/>
        </w:rPr>
        <w:t>und Stabilisierung des Dünger</w:t>
      </w:r>
      <w:r w:rsidR="00C2712A">
        <w:rPr>
          <w:sz w:val="24"/>
          <w:szCs w:val="24"/>
        </w:rPr>
        <w:t>-N</w:t>
      </w:r>
      <w:r>
        <w:rPr>
          <w:sz w:val="24"/>
          <w:szCs w:val="24"/>
        </w:rPr>
        <w:t xml:space="preserve"> </w:t>
      </w:r>
      <w:r w:rsidR="00C2712A">
        <w:rPr>
          <w:sz w:val="24"/>
          <w:szCs w:val="24"/>
        </w:rPr>
        <w:t>(</w:t>
      </w:r>
      <w:r w:rsidR="0022441A">
        <w:rPr>
          <w:sz w:val="24"/>
          <w:szCs w:val="24"/>
        </w:rPr>
        <w:t xml:space="preserve">Einsatz kombinierter </w:t>
      </w:r>
      <w:r w:rsidR="00C2712A" w:rsidRPr="00C2712A">
        <w:rPr>
          <w:sz w:val="24"/>
          <w:szCs w:val="24"/>
        </w:rPr>
        <w:t>Nitrifikations- und Ureaseinhibitor</w:t>
      </w:r>
      <w:r w:rsidR="00C2712A">
        <w:rPr>
          <w:sz w:val="24"/>
          <w:szCs w:val="24"/>
        </w:rPr>
        <w:t xml:space="preserve">) </w:t>
      </w:r>
      <w:r>
        <w:rPr>
          <w:sz w:val="24"/>
          <w:szCs w:val="24"/>
        </w:rPr>
        <w:t xml:space="preserve">erzielt werden. </w:t>
      </w:r>
    </w:p>
    <w:p w14:paraId="6E5856D0" w14:textId="6D76CB7C" w:rsidR="00C2712A" w:rsidRDefault="00ED455D" w:rsidP="00C2712A">
      <w:pPr>
        <w:spacing w:before="0" w:after="0" w:line="240" w:lineRule="auto"/>
        <w:rPr>
          <w:sz w:val="24"/>
          <w:szCs w:val="24"/>
        </w:rPr>
      </w:pPr>
      <w:r>
        <w:rPr>
          <w:sz w:val="24"/>
          <w:szCs w:val="24"/>
        </w:rPr>
        <w:t>Die Verfahren wurden i</w:t>
      </w:r>
      <w:r w:rsidR="00C2712A" w:rsidRPr="00C2712A">
        <w:rPr>
          <w:sz w:val="24"/>
          <w:szCs w:val="24"/>
        </w:rPr>
        <w:t xml:space="preserve">n einem Fruchtfolgeversuch (Winterraps-Winterweizen-Wintergerste) </w:t>
      </w:r>
      <w:r>
        <w:rPr>
          <w:sz w:val="24"/>
          <w:szCs w:val="24"/>
        </w:rPr>
        <w:t xml:space="preserve">auf </w:t>
      </w:r>
      <w:r w:rsidR="006A40FB">
        <w:rPr>
          <w:sz w:val="24"/>
          <w:szCs w:val="24"/>
        </w:rPr>
        <w:t>ihr N-Verlustminderungspotential g</w:t>
      </w:r>
      <w:r w:rsidR="00C2712A">
        <w:rPr>
          <w:sz w:val="24"/>
          <w:szCs w:val="24"/>
        </w:rPr>
        <w:t>eprüft</w:t>
      </w:r>
      <w:r w:rsidR="006A40FB">
        <w:rPr>
          <w:sz w:val="24"/>
          <w:szCs w:val="24"/>
        </w:rPr>
        <w:t>. Dabei wurden folgende Parameter berücksichtigt</w:t>
      </w:r>
      <w:r>
        <w:rPr>
          <w:sz w:val="24"/>
          <w:szCs w:val="24"/>
        </w:rPr>
        <w:t>:</w:t>
      </w:r>
      <w:r w:rsidR="00C2712A" w:rsidRPr="00C2712A">
        <w:rPr>
          <w:sz w:val="24"/>
          <w:szCs w:val="24"/>
        </w:rPr>
        <w:t xml:space="preserve"> Lachgas(N</w:t>
      </w:r>
      <w:r w:rsidR="00C2712A" w:rsidRPr="00C2712A">
        <w:rPr>
          <w:sz w:val="24"/>
          <w:szCs w:val="24"/>
          <w:vertAlign w:val="subscript"/>
        </w:rPr>
        <w:t>2</w:t>
      </w:r>
      <w:r w:rsidR="00C2712A" w:rsidRPr="00C2712A">
        <w:rPr>
          <w:sz w:val="24"/>
          <w:szCs w:val="24"/>
        </w:rPr>
        <w:t>O)- und Ammoniak(NH</w:t>
      </w:r>
      <w:r w:rsidR="00C2712A" w:rsidRPr="00C2712A">
        <w:rPr>
          <w:sz w:val="24"/>
          <w:szCs w:val="24"/>
          <w:vertAlign w:val="subscript"/>
        </w:rPr>
        <w:t>3</w:t>
      </w:r>
      <w:r w:rsidR="00C2712A" w:rsidRPr="00C2712A">
        <w:rPr>
          <w:sz w:val="24"/>
          <w:szCs w:val="24"/>
        </w:rPr>
        <w:t>)-Emissionen</w:t>
      </w:r>
      <w:r>
        <w:rPr>
          <w:sz w:val="24"/>
          <w:szCs w:val="24"/>
        </w:rPr>
        <w:t xml:space="preserve">, </w:t>
      </w:r>
      <w:r w:rsidR="00C2712A" w:rsidRPr="00C2712A">
        <w:rPr>
          <w:sz w:val="24"/>
          <w:szCs w:val="24"/>
        </w:rPr>
        <w:t>Nmin-</w:t>
      </w:r>
      <w:r>
        <w:rPr>
          <w:sz w:val="24"/>
          <w:szCs w:val="24"/>
        </w:rPr>
        <w:t xml:space="preserve">Dynamik im </w:t>
      </w:r>
      <w:r w:rsidR="00C2712A" w:rsidRPr="00C2712A">
        <w:rPr>
          <w:sz w:val="24"/>
          <w:szCs w:val="24"/>
        </w:rPr>
        <w:t>Boden, Erträge und N-Entzüge</w:t>
      </w:r>
      <w:r w:rsidR="006A40FB">
        <w:rPr>
          <w:sz w:val="24"/>
          <w:szCs w:val="24"/>
        </w:rPr>
        <w:t>.</w:t>
      </w:r>
      <w:r w:rsidR="00C2712A" w:rsidRPr="00C2712A">
        <w:rPr>
          <w:sz w:val="24"/>
          <w:szCs w:val="24"/>
        </w:rPr>
        <w:t xml:space="preserve"> Zudem wurden in begleitenden Laboruntersuchungen die Mineralisations</w:t>
      </w:r>
      <w:r w:rsidR="00C2712A">
        <w:rPr>
          <w:sz w:val="24"/>
          <w:szCs w:val="24"/>
        </w:rPr>
        <w:t>- und Nitratabbau</w:t>
      </w:r>
      <w:r w:rsidR="00C2712A" w:rsidRPr="00C2712A">
        <w:rPr>
          <w:sz w:val="24"/>
          <w:szCs w:val="24"/>
        </w:rPr>
        <w:t xml:space="preserve">raten des Bodens bestimmt. </w:t>
      </w:r>
      <w:r>
        <w:rPr>
          <w:sz w:val="24"/>
          <w:szCs w:val="24"/>
        </w:rPr>
        <w:t xml:space="preserve">Analysen der </w:t>
      </w:r>
      <w:r w:rsidRPr="00C2712A">
        <w:rPr>
          <w:sz w:val="24"/>
          <w:szCs w:val="24"/>
        </w:rPr>
        <w:t>Stabil</w:t>
      </w:r>
      <w:r w:rsidR="00832174">
        <w:rPr>
          <w:sz w:val="24"/>
          <w:szCs w:val="24"/>
        </w:rPr>
        <w:t>-</w:t>
      </w:r>
      <w:r w:rsidRPr="00C2712A">
        <w:rPr>
          <w:sz w:val="24"/>
          <w:szCs w:val="24"/>
        </w:rPr>
        <w:t xml:space="preserve">isotopenverhältnisse (δ </w:t>
      </w:r>
      <w:r w:rsidRPr="00C2712A">
        <w:rPr>
          <w:sz w:val="24"/>
          <w:szCs w:val="24"/>
          <w:vertAlign w:val="superscript"/>
        </w:rPr>
        <w:t>15</w:t>
      </w:r>
      <w:r w:rsidRPr="00C2712A">
        <w:rPr>
          <w:sz w:val="24"/>
          <w:szCs w:val="24"/>
        </w:rPr>
        <w:t xml:space="preserve">N und δ </w:t>
      </w:r>
      <w:r w:rsidRPr="00C2712A">
        <w:rPr>
          <w:sz w:val="24"/>
          <w:szCs w:val="24"/>
          <w:vertAlign w:val="superscript"/>
        </w:rPr>
        <w:t>18</w:t>
      </w:r>
      <w:r w:rsidRPr="00C2712A">
        <w:rPr>
          <w:sz w:val="24"/>
          <w:szCs w:val="24"/>
        </w:rPr>
        <w:t>O)</w:t>
      </w:r>
      <w:r w:rsidRPr="00ED455D">
        <w:rPr>
          <w:sz w:val="24"/>
          <w:szCs w:val="24"/>
        </w:rPr>
        <w:t xml:space="preserve"> </w:t>
      </w:r>
      <w:r w:rsidRPr="00C2712A">
        <w:rPr>
          <w:sz w:val="24"/>
          <w:szCs w:val="24"/>
        </w:rPr>
        <w:t>im</w:t>
      </w:r>
    </w:p>
    <w:p w14:paraId="7688E609" w14:textId="77777777" w:rsidR="00ED455D" w:rsidRPr="00C2712A" w:rsidRDefault="00ED455D" w:rsidP="00C2712A">
      <w:pPr>
        <w:spacing w:before="0" w:after="0" w:line="240" w:lineRule="auto"/>
        <w:rPr>
          <w:sz w:val="24"/>
          <w:szCs w:val="24"/>
        </w:rPr>
      </w:pPr>
    </w:p>
    <w:p w14:paraId="2AD45326" w14:textId="2C784BFF" w:rsidR="00327212" w:rsidRDefault="00327212" w:rsidP="00327212">
      <w:pPr>
        <w:pBdr>
          <w:top w:val="single" w:sz="4" w:space="1" w:color="auto"/>
        </w:pBdr>
        <w:spacing w:before="0" w:after="0"/>
        <w:rPr>
          <w:rFonts w:cs="Arial"/>
          <w:szCs w:val="24"/>
          <w:u w:val="single"/>
        </w:rPr>
      </w:pPr>
      <w:r w:rsidRPr="00E341C8">
        <w:rPr>
          <w:rFonts w:cs="Arial"/>
          <w:szCs w:val="24"/>
          <w:vertAlign w:val="superscript"/>
        </w:rPr>
        <w:t xml:space="preserve">1 </w:t>
      </w:r>
      <w:r w:rsidRPr="00E341C8">
        <w:rPr>
          <w:rFonts w:cs="Arial"/>
          <w:szCs w:val="24"/>
        </w:rPr>
        <w:t>Landesanstalt für Landwirtschaft und Gar</w:t>
      </w:r>
      <w:r>
        <w:rPr>
          <w:rFonts w:cs="Arial"/>
          <w:szCs w:val="24"/>
        </w:rPr>
        <w:t>tenbau</w:t>
      </w:r>
      <w:r w:rsidR="000D3F50">
        <w:rPr>
          <w:rFonts w:cs="Arial"/>
          <w:szCs w:val="24"/>
        </w:rPr>
        <w:t xml:space="preserve"> Sachsen-Anhalt</w:t>
      </w:r>
      <w:r>
        <w:rPr>
          <w:rFonts w:cs="Arial"/>
          <w:szCs w:val="24"/>
        </w:rPr>
        <w:t>, Strenzfelder Allee 22, 06406 Bernburg</w:t>
      </w:r>
      <w:r w:rsidR="000D3F50">
        <w:rPr>
          <w:rFonts w:cs="Arial"/>
          <w:szCs w:val="24"/>
        </w:rPr>
        <w:t xml:space="preserve">, </w:t>
      </w:r>
      <w:r w:rsidRPr="00F7055D">
        <w:rPr>
          <w:rFonts w:cs="Arial"/>
          <w:szCs w:val="24"/>
          <w:u w:val="single"/>
        </w:rPr>
        <w:t>nadine.tauchnitz@llg.mu</w:t>
      </w:r>
      <w:r w:rsidR="00BD0C71">
        <w:rPr>
          <w:rFonts w:cs="Arial"/>
          <w:szCs w:val="24"/>
          <w:u w:val="single"/>
        </w:rPr>
        <w:t>le</w:t>
      </w:r>
      <w:r w:rsidRPr="00F7055D">
        <w:rPr>
          <w:rFonts w:cs="Arial"/>
          <w:szCs w:val="24"/>
          <w:u w:val="single"/>
        </w:rPr>
        <w:t xml:space="preserve">.sachsen-anhalt.de </w:t>
      </w:r>
    </w:p>
    <w:p w14:paraId="6220FF6B" w14:textId="77777777" w:rsidR="00FA3553" w:rsidRDefault="000D3F50" w:rsidP="00327212">
      <w:pPr>
        <w:pBdr>
          <w:top w:val="single" w:sz="4" w:space="1" w:color="auto"/>
        </w:pBdr>
        <w:spacing w:before="0" w:after="0"/>
        <w:rPr>
          <w:rFonts w:cs="Arial"/>
          <w:szCs w:val="24"/>
        </w:rPr>
      </w:pPr>
      <w:r>
        <w:rPr>
          <w:rFonts w:cs="Arial"/>
          <w:szCs w:val="24"/>
          <w:vertAlign w:val="superscript"/>
        </w:rPr>
        <w:t>2</w:t>
      </w:r>
      <w:r w:rsidRPr="00E341C8">
        <w:rPr>
          <w:rFonts w:cs="Arial"/>
          <w:szCs w:val="24"/>
          <w:vertAlign w:val="superscript"/>
        </w:rPr>
        <w:t xml:space="preserve"> </w:t>
      </w:r>
      <w:r w:rsidR="008479C7" w:rsidRPr="008479C7">
        <w:rPr>
          <w:rFonts w:cs="Arial"/>
          <w:szCs w:val="24"/>
        </w:rPr>
        <w:t>Martin</w:t>
      </w:r>
      <w:r w:rsidR="008479C7">
        <w:rPr>
          <w:rFonts w:cs="Arial"/>
          <w:szCs w:val="24"/>
        </w:rPr>
        <w:t xml:space="preserve">-Luther-Universität Halle-Wittenberg, </w:t>
      </w:r>
      <w:r w:rsidR="00FA3553">
        <w:rPr>
          <w:rFonts w:cs="Arial"/>
          <w:szCs w:val="24"/>
        </w:rPr>
        <w:t>Betty-Heimann-Str. 5, 06120 Halle (S.)</w:t>
      </w:r>
    </w:p>
    <w:p w14:paraId="2E869CD7" w14:textId="26F39A8B" w:rsidR="00D302B8" w:rsidRDefault="000D3F50" w:rsidP="00327212">
      <w:pPr>
        <w:pBdr>
          <w:top w:val="single" w:sz="4" w:space="1" w:color="auto"/>
        </w:pBdr>
        <w:spacing w:before="0" w:after="0"/>
        <w:rPr>
          <w:rFonts w:cs="Arial"/>
          <w:szCs w:val="24"/>
        </w:rPr>
      </w:pPr>
      <w:r>
        <w:rPr>
          <w:rFonts w:cs="Arial"/>
          <w:szCs w:val="24"/>
          <w:vertAlign w:val="superscript"/>
        </w:rPr>
        <w:t xml:space="preserve">3 </w:t>
      </w:r>
      <w:r w:rsidR="00BD0C71" w:rsidRPr="00BD0C71">
        <w:rPr>
          <w:rFonts w:cs="Arial"/>
          <w:szCs w:val="24"/>
        </w:rPr>
        <w:t>B</w:t>
      </w:r>
      <w:r w:rsidR="00BD0C71">
        <w:rPr>
          <w:rFonts w:cs="Arial"/>
          <w:szCs w:val="24"/>
        </w:rPr>
        <w:t xml:space="preserve">GD Ecosax GmbH, Tiergartenstrasse 48, </w:t>
      </w:r>
      <w:r w:rsidR="004034CF">
        <w:rPr>
          <w:rFonts w:cs="Arial"/>
          <w:szCs w:val="24"/>
        </w:rPr>
        <w:t>012</w:t>
      </w:r>
      <w:r w:rsidR="00BD0C71">
        <w:rPr>
          <w:rFonts w:cs="Arial"/>
          <w:szCs w:val="24"/>
        </w:rPr>
        <w:t>19</w:t>
      </w:r>
      <w:r w:rsidR="00C6017A">
        <w:rPr>
          <w:rFonts w:cs="Arial"/>
          <w:szCs w:val="24"/>
        </w:rPr>
        <w:t xml:space="preserve"> Dresden</w:t>
      </w:r>
    </w:p>
    <w:p w14:paraId="6A7C84D6" w14:textId="1BCBFA31" w:rsidR="00FA3553" w:rsidRDefault="00FA3553" w:rsidP="00327212">
      <w:pPr>
        <w:pBdr>
          <w:top w:val="single" w:sz="4" w:space="1" w:color="auto"/>
        </w:pBdr>
        <w:spacing w:before="0" w:after="0"/>
        <w:rPr>
          <w:rFonts w:cs="Arial"/>
          <w:szCs w:val="24"/>
        </w:rPr>
      </w:pPr>
      <w:r>
        <w:rPr>
          <w:rFonts w:cs="Arial"/>
          <w:szCs w:val="24"/>
          <w:vertAlign w:val="superscript"/>
        </w:rPr>
        <w:t>4</w:t>
      </w:r>
      <w:r>
        <w:rPr>
          <w:rFonts w:cs="Arial"/>
          <w:szCs w:val="24"/>
          <w:vertAlign w:val="superscript"/>
        </w:rPr>
        <w:t xml:space="preserve"> </w:t>
      </w:r>
      <w:r w:rsidRPr="00FA3553">
        <w:rPr>
          <w:rFonts w:cs="Arial"/>
          <w:szCs w:val="24"/>
        </w:rPr>
        <w:t>SKW</w:t>
      </w:r>
      <w:r>
        <w:rPr>
          <w:rFonts w:cs="Arial"/>
          <w:szCs w:val="24"/>
          <w:vertAlign w:val="superscript"/>
        </w:rPr>
        <w:t xml:space="preserve"> </w:t>
      </w:r>
      <w:r w:rsidRPr="00FA3553">
        <w:rPr>
          <w:rFonts w:cs="Arial"/>
          <w:szCs w:val="24"/>
        </w:rPr>
        <w:t>S</w:t>
      </w:r>
      <w:r>
        <w:rPr>
          <w:rFonts w:cs="Arial"/>
          <w:szCs w:val="24"/>
        </w:rPr>
        <w:t>tickstoffwerke Piesteritz GmbH, Am Wieseneck 7, 04451 Borsdorf, OT Cunnersdorf</w:t>
      </w:r>
    </w:p>
    <w:p w14:paraId="00F3E3D6" w14:textId="10EC63AB" w:rsidR="00A26D83" w:rsidRDefault="00ED455D" w:rsidP="000A1FD8">
      <w:pPr>
        <w:spacing w:before="0" w:after="120"/>
        <w:rPr>
          <w:sz w:val="24"/>
          <w:szCs w:val="24"/>
        </w:rPr>
      </w:pPr>
      <w:r w:rsidRPr="00C2712A">
        <w:rPr>
          <w:sz w:val="24"/>
          <w:szCs w:val="24"/>
        </w:rPr>
        <w:t xml:space="preserve">Dünger und im Boden </w:t>
      </w:r>
      <w:r>
        <w:rPr>
          <w:sz w:val="24"/>
          <w:szCs w:val="24"/>
        </w:rPr>
        <w:t xml:space="preserve">dienten dazu, Informationen zur </w:t>
      </w:r>
      <w:r w:rsidRPr="00C2712A">
        <w:rPr>
          <w:sz w:val="24"/>
          <w:szCs w:val="24"/>
        </w:rPr>
        <w:t>Herkunft der N-Verluste (</w:t>
      </w:r>
      <w:r w:rsidR="006A40FB">
        <w:rPr>
          <w:sz w:val="24"/>
          <w:szCs w:val="24"/>
        </w:rPr>
        <w:t>organischer N-Pool</w:t>
      </w:r>
      <w:r w:rsidRPr="00C2712A">
        <w:rPr>
          <w:sz w:val="24"/>
          <w:szCs w:val="24"/>
        </w:rPr>
        <w:t>, Dünger)</w:t>
      </w:r>
      <w:r>
        <w:rPr>
          <w:sz w:val="24"/>
          <w:szCs w:val="24"/>
        </w:rPr>
        <w:t xml:space="preserve"> und der ablaufenden N-Umwandlungsprozesse zu erhalten</w:t>
      </w:r>
      <w:r w:rsidR="002D1EAA">
        <w:rPr>
          <w:sz w:val="24"/>
          <w:szCs w:val="24"/>
        </w:rPr>
        <w:t>.</w:t>
      </w:r>
      <w:r w:rsidRPr="008C0B79">
        <w:rPr>
          <w:sz w:val="24"/>
          <w:szCs w:val="24"/>
        </w:rPr>
        <w:t xml:space="preserve"> </w:t>
      </w:r>
    </w:p>
    <w:p w14:paraId="4AB85005" w14:textId="0DF6A067" w:rsidR="001652BB" w:rsidRPr="001652BB" w:rsidRDefault="001652BB" w:rsidP="001652BB">
      <w:pPr>
        <w:spacing w:before="0" w:after="120"/>
        <w:rPr>
          <w:sz w:val="24"/>
          <w:szCs w:val="24"/>
        </w:rPr>
      </w:pPr>
      <w:r w:rsidRPr="001652BB">
        <w:rPr>
          <w:sz w:val="24"/>
          <w:szCs w:val="24"/>
        </w:rPr>
        <w:t xml:space="preserve">Im Versuchszeitraum </w:t>
      </w:r>
      <w:r>
        <w:rPr>
          <w:sz w:val="24"/>
          <w:szCs w:val="24"/>
        </w:rPr>
        <w:t xml:space="preserve">(2016-2019) </w:t>
      </w:r>
      <w:r w:rsidRPr="001652BB">
        <w:rPr>
          <w:sz w:val="24"/>
          <w:szCs w:val="24"/>
        </w:rPr>
        <w:t>waren aufgrund der geringen Niederschläge und damit verbundenen niedrigen Erträge und N-Entzüge teilweise hohe N-Überschüsse und damit ein hohes N-Verlustpotential nachweisbar. Die N</w:t>
      </w:r>
      <w:r w:rsidRPr="001652BB">
        <w:rPr>
          <w:sz w:val="24"/>
          <w:szCs w:val="24"/>
          <w:vertAlign w:val="subscript"/>
        </w:rPr>
        <w:t>2</w:t>
      </w:r>
      <w:r w:rsidRPr="001652BB">
        <w:rPr>
          <w:sz w:val="24"/>
          <w:szCs w:val="24"/>
        </w:rPr>
        <w:t>O-N-Verluste in der gesamten Fruchtfolge Winterraps-Winterweizen-Wintergerste waren mit maximal 0,59 kg N/ha*a auf einem sehr geringen Niveau. Die Injektionsvariante wies im Vergleich zu den anderen Varianten signifikant höhere N</w:t>
      </w:r>
      <w:r w:rsidRPr="001652BB">
        <w:rPr>
          <w:sz w:val="24"/>
          <w:szCs w:val="24"/>
          <w:vertAlign w:val="subscript"/>
        </w:rPr>
        <w:t>2</w:t>
      </w:r>
      <w:r w:rsidRPr="001652BB">
        <w:rPr>
          <w:sz w:val="24"/>
          <w:szCs w:val="24"/>
        </w:rPr>
        <w:t>O-Emissionen auf, die vermutlich durch die hohen Nmin-Konzentrationen im Boden nach der Düngung und die tiefere Ablage des Düngers begründet waren. Haupteinflussfaktoren auf die N</w:t>
      </w:r>
      <w:r w:rsidRPr="001652BB">
        <w:rPr>
          <w:sz w:val="24"/>
          <w:szCs w:val="24"/>
          <w:vertAlign w:val="subscript"/>
        </w:rPr>
        <w:t>2</w:t>
      </w:r>
      <w:r w:rsidRPr="001652BB">
        <w:rPr>
          <w:sz w:val="24"/>
          <w:szCs w:val="24"/>
        </w:rPr>
        <w:t>O-Emissionen waren die Nmin- bzw. NO</w:t>
      </w:r>
      <w:r w:rsidRPr="001652BB">
        <w:rPr>
          <w:sz w:val="24"/>
          <w:szCs w:val="24"/>
          <w:vertAlign w:val="subscript"/>
        </w:rPr>
        <w:t>3</w:t>
      </w:r>
      <w:r w:rsidRPr="001652BB">
        <w:rPr>
          <w:sz w:val="24"/>
          <w:szCs w:val="24"/>
          <w:vertAlign w:val="superscript"/>
        </w:rPr>
        <w:t>-</w:t>
      </w:r>
      <w:r w:rsidRPr="001652BB">
        <w:rPr>
          <w:sz w:val="24"/>
          <w:szCs w:val="24"/>
        </w:rPr>
        <w:t xml:space="preserve">-Gehalte im Boden, die Bodenfeuchte und die Bodentemperatur in 1 cm Tiefe. In den Laborversuchen wurden hohe Mineralisations- und Nitratabbauraten des untersuchten Bodens erfasst. Die Stabilisotopenanalysen ergaben, dass der Dünger-N vollständig bis zur Ernte umgesetzt wurde und zum Zeitpunkt der Probenahme überwiegend im organischen N-Pool gebunden vorlag. </w:t>
      </w:r>
    </w:p>
    <w:p w14:paraId="77752369" w14:textId="62ABFE14" w:rsidR="00F57EDE" w:rsidRPr="007C6700" w:rsidRDefault="00F57EDE" w:rsidP="004900D2">
      <w:pPr>
        <w:spacing w:before="0" w:after="240" w:line="240" w:lineRule="auto"/>
        <w:rPr>
          <w:sz w:val="24"/>
          <w:szCs w:val="24"/>
        </w:rPr>
      </w:pPr>
      <w:r w:rsidRPr="00C953B0">
        <w:rPr>
          <w:b/>
          <w:sz w:val="24"/>
          <w:szCs w:val="24"/>
        </w:rPr>
        <w:t>Schlüsselworte</w:t>
      </w:r>
      <w:r w:rsidRPr="0023001B">
        <w:rPr>
          <w:sz w:val="24"/>
          <w:szCs w:val="24"/>
        </w:rPr>
        <w:t xml:space="preserve">: </w:t>
      </w:r>
      <w:r w:rsidR="0023001B" w:rsidRPr="0023001B">
        <w:rPr>
          <w:sz w:val="24"/>
          <w:szCs w:val="24"/>
        </w:rPr>
        <w:t>Lachgas</w:t>
      </w:r>
      <w:r w:rsidR="0023001B">
        <w:rPr>
          <w:sz w:val="24"/>
          <w:szCs w:val="24"/>
        </w:rPr>
        <w:t xml:space="preserve">, Mineralisation, organischer </w:t>
      </w:r>
      <w:r w:rsidR="00A35097">
        <w:rPr>
          <w:sz w:val="24"/>
          <w:szCs w:val="24"/>
        </w:rPr>
        <w:t>N</w:t>
      </w:r>
      <w:r w:rsidR="00A47E60">
        <w:rPr>
          <w:sz w:val="24"/>
          <w:szCs w:val="24"/>
        </w:rPr>
        <w:t>-P</w:t>
      </w:r>
      <w:r w:rsidR="0023001B">
        <w:rPr>
          <w:sz w:val="24"/>
          <w:szCs w:val="24"/>
        </w:rPr>
        <w:t xml:space="preserve">ool, </w:t>
      </w:r>
      <w:r w:rsidR="00A47E60">
        <w:rPr>
          <w:sz w:val="24"/>
          <w:szCs w:val="24"/>
        </w:rPr>
        <w:t>Side-Dressing-Verfahren,</w:t>
      </w:r>
      <w:r w:rsidR="00A47E60" w:rsidRPr="00A47E60">
        <w:rPr>
          <w:sz w:val="24"/>
          <w:szCs w:val="24"/>
        </w:rPr>
        <w:t xml:space="preserve"> </w:t>
      </w:r>
      <w:r w:rsidR="00A35097">
        <w:rPr>
          <w:sz w:val="24"/>
          <w:szCs w:val="24"/>
        </w:rPr>
        <w:t>N</w:t>
      </w:r>
      <w:r w:rsidR="00A47E60">
        <w:rPr>
          <w:sz w:val="24"/>
          <w:szCs w:val="24"/>
        </w:rPr>
        <w:t>-Stabilisierung</w:t>
      </w:r>
    </w:p>
    <w:p w14:paraId="5728068A" w14:textId="77777777" w:rsidR="00C91C6F" w:rsidRDefault="00C91C6F" w:rsidP="00ED4450">
      <w:pPr>
        <w:spacing w:before="0" w:after="0" w:line="240" w:lineRule="auto"/>
        <w:rPr>
          <w:sz w:val="24"/>
          <w:szCs w:val="24"/>
        </w:rPr>
      </w:pPr>
    </w:p>
    <w:p w14:paraId="647D79D7" w14:textId="77777777" w:rsidR="0056536B" w:rsidRPr="0056536B" w:rsidRDefault="0056536B" w:rsidP="007E1CE2">
      <w:pPr>
        <w:pStyle w:val="berschrift3"/>
      </w:pPr>
      <w:r w:rsidRPr="0056536B">
        <w:t>1</w:t>
      </w:r>
      <w:r w:rsidRPr="0056536B">
        <w:tab/>
      </w:r>
      <w:r w:rsidR="00B035CE" w:rsidRPr="0056536B">
        <w:t>Einleitung und Zielstellung</w:t>
      </w:r>
    </w:p>
    <w:p w14:paraId="13D50023" w14:textId="0D5355CA" w:rsidR="005274A4" w:rsidRPr="005274A4" w:rsidRDefault="005274A4" w:rsidP="007E1CE2">
      <w:pPr>
        <w:spacing w:before="0" w:after="0" w:line="240" w:lineRule="auto"/>
        <w:rPr>
          <w:rFonts w:cs="Arial"/>
          <w:sz w:val="24"/>
          <w:szCs w:val="24"/>
        </w:rPr>
      </w:pPr>
      <w:r w:rsidRPr="005274A4">
        <w:rPr>
          <w:rFonts w:cs="Arial"/>
          <w:sz w:val="24"/>
          <w:szCs w:val="24"/>
        </w:rPr>
        <w:t>Mit dem Hintergrund, die umwelt- und klimapolitischen Ziele zu erreichen, sind Stickstoff(N)-Verluste bei der Düngung durch eine verbesserte N-Effizienz zu minimieren. Im von der Bundesanstalt für Landwirtschaft und Ernährung (BLE) geförderten Projekt „N-</w:t>
      </w:r>
      <w:r w:rsidRPr="005274A4">
        <w:rPr>
          <w:rFonts w:cs="Arial"/>
          <w:b/>
          <w:sz w:val="24"/>
          <w:szCs w:val="24"/>
        </w:rPr>
        <w:t>Sta</w:t>
      </w:r>
      <w:r w:rsidRPr="005274A4">
        <w:rPr>
          <w:rFonts w:cs="Arial"/>
          <w:sz w:val="24"/>
          <w:szCs w:val="24"/>
        </w:rPr>
        <w:t xml:space="preserve">bilisierung und wurzelnahe </w:t>
      </w:r>
      <w:r w:rsidRPr="005274A4">
        <w:rPr>
          <w:rFonts w:cs="Arial"/>
          <w:b/>
          <w:sz w:val="24"/>
          <w:szCs w:val="24"/>
        </w:rPr>
        <w:t>Pla</w:t>
      </w:r>
      <w:r w:rsidRPr="005274A4">
        <w:rPr>
          <w:rFonts w:cs="Arial"/>
          <w:sz w:val="24"/>
          <w:szCs w:val="24"/>
        </w:rPr>
        <w:t xml:space="preserve">tzierung als innovative Technologien zur Optimierung der </w:t>
      </w:r>
      <w:r w:rsidRPr="005274A4">
        <w:rPr>
          <w:rFonts w:cs="Arial"/>
          <w:b/>
          <w:sz w:val="24"/>
          <w:szCs w:val="24"/>
        </w:rPr>
        <w:t>Res</w:t>
      </w:r>
      <w:r w:rsidRPr="005274A4">
        <w:rPr>
          <w:rFonts w:cs="Arial"/>
          <w:sz w:val="24"/>
          <w:szCs w:val="24"/>
        </w:rPr>
        <w:t>sourceneffizienz bei der Harnstoffdüngung (StaPlaRes)“ soll eine Erhöhung der N-Effizienz durch N-Stabilisierung (Einsatz von Urease- und Nitrifikationsinhibitoren) und wurzelnahe Platzierung des Düngers (Side-</w:t>
      </w:r>
      <w:r>
        <w:rPr>
          <w:rFonts w:cs="Arial"/>
          <w:sz w:val="24"/>
          <w:szCs w:val="24"/>
        </w:rPr>
        <w:t>D</w:t>
      </w:r>
      <w:r w:rsidRPr="005274A4">
        <w:rPr>
          <w:rFonts w:cs="Arial"/>
          <w:sz w:val="24"/>
          <w:szCs w:val="24"/>
        </w:rPr>
        <w:t xml:space="preserve">ressing-Verfahren) erreicht </w:t>
      </w:r>
      <w:r w:rsidRPr="005274A4">
        <w:rPr>
          <w:rFonts w:cs="Arial"/>
          <w:sz w:val="24"/>
          <w:szCs w:val="24"/>
        </w:rPr>
        <w:lastRenderedPageBreak/>
        <w:t>werden. In Fruchtfolgeversuchen (Winterraps-Winterweizen-Wintergerste) w</w:t>
      </w:r>
      <w:r w:rsidR="004E579E">
        <w:rPr>
          <w:rFonts w:cs="Arial"/>
          <w:sz w:val="24"/>
          <w:szCs w:val="24"/>
        </w:rPr>
        <w:t>u</w:t>
      </w:r>
      <w:bookmarkStart w:id="0" w:name="_GoBack"/>
      <w:bookmarkEnd w:id="0"/>
      <w:r w:rsidRPr="005274A4">
        <w:rPr>
          <w:rFonts w:cs="Arial"/>
          <w:sz w:val="24"/>
          <w:szCs w:val="24"/>
        </w:rPr>
        <w:t xml:space="preserve">rden diese Verfahren an drei Versuchsstandorten (Bernburg, Cunnersdorf, Roggenstein) auf ihr N-Verlustminderungspotential geprüft. Im vorliegenden Beitrag werden bisherige Ergebnisse auf einem Lössboden (Tschernosem) für den Versuchsstandort Bernburg vorgestellt. </w:t>
      </w:r>
    </w:p>
    <w:p w14:paraId="6D72ED3E" w14:textId="77777777" w:rsidR="005274A4" w:rsidRPr="005274A4" w:rsidRDefault="005274A4" w:rsidP="005274A4">
      <w:pPr>
        <w:spacing w:before="0" w:after="0" w:line="240" w:lineRule="auto"/>
        <w:ind w:left="284"/>
        <w:rPr>
          <w:rFonts w:cs="Arial"/>
          <w:sz w:val="24"/>
          <w:szCs w:val="24"/>
        </w:rPr>
      </w:pPr>
    </w:p>
    <w:p w14:paraId="6D045C01" w14:textId="77777777" w:rsidR="005274A4" w:rsidRPr="005274A4" w:rsidRDefault="005274A4" w:rsidP="005274A4">
      <w:pPr>
        <w:spacing w:before="0" w:after="0" w:line="240" w:lineRule="auto"/>
        <w:ind w:left="284"/>
        <w:rPr>
          <w:rFonts w:cs="Arial"/>
          <w:sz w:val="24"/>
          <w:szCs w:val="24"/>
        </w:rPr>
      </w:pPr>
      <w:r w:rsidRPr="005274A4">
        <w:rPr>
          <w:rFonts w:cs="Arial"/>
          <w:sz w:val="24"/>
          <w:szCs w:val="24"/>
        </w:rPr>
        <w:t>Folgende Arbeitsschwerpunkte wurden im Rahmen des Projektes bearbeitet:</w:t>
      </w:r>
    </w:p>
    <w:p w14:paraId="5B4A9590" w14:textId="77777777" w:rsidR="005274A4" w:rsidRPr="005274A4" w:rsidRDefault="005274A4" w:rsidP="005274A4">
      <w:pPr>
        <w:spacing w:before="0" w:after="0" w:line="240" w:lineRule="auto"/>
        <w:ind w:left="284"/>
        <w:rPr>
          <w:rFonts w:cs="Arial"/>
          <w:sz w:val="24"/>
          <w:szCs w:val="24"/>
        </w:rPr>
      </w:pPr>
    </w:p>
    <w:p w14:paraId="57589140" w14:textId="77777777" w:rsidR="005274A4" w:rsidRPr="005274A4" w:rsidRDefault="005274A4" w:rsidP="005274A4">
      <w:pPr>
        <w:numPr>
          <w:ilvl w:val="0"/>
          <w:numId w:val="5"/>
        </w:numPr>
        <w:spacing w:before="0" w:after="0" w:line="240" w:lineRule="auto"/>
        <w:rPr>
          <w:rFonts w:cs="Arial"/>
          <w:sz w:val="24"/>
          <w:szCs w:val="24"/>
        </w:rPr>
      </w:pPr>
      <w:r w:rsidRPr="005274A4">
        <w:rPr>
          <w:rFonts w:cs="Arial"/>
          <w:sz w:val="24"/>
          <w:szCs w:val="24"/>
        </w:rPr>
        <w:t>Erfassung der Lachgas(N</w:t>
      </w:r>
      <w:r w:rsidRPr="005274A4">
        <w:rPr>
          <w:rFonts w:cs="Arial"/>
          <w:sz w:val="24"/>
          <w:szCs w:val="24"/>
          <w:vertAlign w:val="subscript"/>
        </w:rPr>
        <w:t>2</w:t>
      </w:r>
      <w:r w:rsidRPr="005274A4">
        <w:rPr>
          <w:rFonts w:cs="Arial"/>
          <w:sz w:val="24"/>
          <w:szCs w:val="24"/>
        </w:rPr>
        <w:t>O)-N-Verluste und relevanter Einflussfaktoren (Nmin-Gehalte im Boden, Bodenfeuchten, Bodentemperaturen)</w:t>
      </w:r>
    </w:p>
    <w:p w14:paraId="7BC91937" w14:textId="77777777" w:rsidR="005274A4" w:rsidRPr="005274A4" w:rsidRDefault="005274A4" w:rsidP="005274A4">
      <w:pPr>
        <w:numPr>
          <w:ilvl w:val="0"/>
          <w:numId w:val="5"/>
        </w:numPr>
        <w:spacing w:before="0" w:after="0" w:line="240" w:lineRule="auto"/>
        <w:rPr>
          <w:rFonts w:cs="Arial"/>
          <w:sz w:val="24"/>
          <w:szCs w:val="24"/>
        </w:rPr>
      </w:pPr>
      <w:r w:rsidRPr="005274A4">
        <w:rPr>
          <w:rFonts w:cs="Arial"/>
          <w:sz w:val="24"/>
          <w:szCs w:val="24"/>
        </w:rPr>
        <w:t>Quantifizierung der Mineralisations- und Nitratabbauraten unter kontrollierten Bedingungen im Labor</w:t>
      </w:r>
    </w:p>
    <w:p w14:paraId="6CD9526E" w14:textId="4A34B38C" w:rsidR="005274A4" w:rsidRPr="005274A4" w:rsidRDefault="005274A4" w:rsidP="005274A4">
      <w:pPr>
        <w:numPr>
          <w:ilvl w:val="0"/>
          <w:numId w:val="5"/>
        </w:numPr>
        <w:spacing w:before="0" w:after="0" w:line="240" w:lineRule="auto"/>
        <w:rPr>
          <w:rFonts w:cs="Arial"/>
          <w:sz w:val="24"/>
          <w:szCs w:val="24"/>
        </w:rPr>
      </w:pPr>
      <w:r w:rsidRPr="005274A4">
        <w:rPr>
          <w:rFonts w:cs="Arial"/>
          <w:sz w:val="24"/>
          <w:szCs w:val="24"/>
        </w:rPr>
        <w:t>Analytik der Stabilisotopenverhältnisse (δ</w:t>
      </w:r>
      <w:r w:rsidRPr="005274A4">
        <w:rPr>
          <w:rFonts w:cs="Arial"/>
          <w:sz w:val="24"/>
          <w:szCs w:val="24"/>
          <w:vertAlign w:val="superscript"/>
        </w:rPr>
        <w:t xml:space="preserve"> 15</w:t>
      </w:r>
      <w:r w:rsidRPr="005274A4">
        <w:rPr>
          <w:rFonts w:cs="Arial"/>
          <w:sz w:val="24"/>
          <w:szCs w:val="24"/>
        </w:rPr>
        <w:t>N und δ</w:t>
      </w:r>
      <w:r w:rsidRPr="005274A4">
        <w:rPr>
          <w:rFonts w:cs="Arial"/>
          <w:sz w:val="24"/>
          <w:szCs w:val="24"/>
          <w:vertAlign w:val="superscript"/>
        </w:rPr>
        <w:t xml:space="preserve"> 18</w:t>
      </w:r>
      <w:r w:rsidRPr="005274A4">
        <w:rPr>
          <w:rFonts w:cs="Arial"/>
          <w:sz w:val="24"/>
          <w:szCs w:val="24"/>
        </w:rPr>
        <w:t>O) im Dünger und im Boden zur Ermittlung der Herkunft der N-Verluste (</w:t>
      </w:r>
      <w:r w:rsidR="008D7363">
        <w:rPr>
          <w:rFonts w:cs="Arial"/>
          <w:sz w:val="24"/>
          <w:szCs w:val="24"/>
        </w:rPr>
        <w:t>organischer N-Pool</w:t>
      </w:r>
      <w:r w:rsidRPr="005274A4">
        <w:rPr>
          <w:rFonts w:cs="Arial"/>
          <w:sz w:val="24"/>
          <w:szCs w:val="24"/>
        </w:rPr>
        <w:t>, Dünger).</w:t>
      </w:r>
    </w:p>
    <w:p w14:paraId="566B03E5" w14:textId="77777777" w:rsidR="00ED4450" w:rsidRDefault="00ED4450" w:rsidP="00ED4450">
      <w:pPr>
        <w:spacing w:before="0" w:after="0" w:line="240" w:lineRule="auto"/>
        <w:ind w:left="284"/>
        <w:rPr>
          <w:rFonts w:cs="Arial"/>
          <w:sz w:val="24"/>
          <w:szCs w:val="24"/>
        </w:rPr>
      </w:pPr>
    </w:p>
    <w:p w14:paraId="62814866" w14:textId="77777777" w:rsidR="0056536B" w:rsidRDefault="0056536B" w:rsidP="00D904F2">
      <w:pPr>
        <w:spacing w:before="60" w:after="120" w:line="240" w:lineRule="auto"/>
        <w:ind w:left="737" w:hanging="737"/>
        <w:rPr>
          <w:rFonts w:cs="Arial"/>
          <w:b/>
          <w:sz w:val="24"/>
          <w:szCs w:val="24"/>
        </w:rPr>
      </w:pPr>
      <w:r w:rsidRPr="0056536B">
        <w:rPr>
          <w:rFonts w:cs="Arial"/>
          <w:b/>
          <w:sz w:val="24"/>
          <w:szCs w:val="24"/>
        </w:rPr>
        <w:t>2</w:t>
      </w:r>
      <w:r w:rsidRPr="0056536B">
        <w:rPr>
          <w:rFonts w:cs="Arial"/>
          <w:b/>
          <w:sz w:val="24"/>
          <w:szCs w:val="24"/>
        </w:rPr>
        <w:tab/>
        <w:t>Methoden</w:t>
      </w:r>
    </w:p>
    <w:p w14:paraId="66F4D869" w14:textId="7465FE86" w:rsidR="00BF75B5" w:rsidRPr="00D904F2" w:rsidRDefault="00BF75B5" w:rsidP="00D904F2">
      <w:pPr>
        <w:tabs>
          <w:tab w:val="left" w:pos="0"/>
        </w:tabs>
        <w:spacing w:before="60" w:after="120"/>
        <w:ind w:left="737" w:hanging="737"/>
        <w:rPr>
          <w:rFonts w:cs="Arial"/>
          <w:b/>
          <w:sz w:val="24"/>
          <w:szCs w:val="24"/>
        </w:rPr>
      </w:pPr>
      <w:r w:rsidRPr="00D904F2">
        <w:rPr>
          <w:rFonts w:cs="Arial"/>
          <w:b/>
          <w:sz w:val="24"/>
          <w:szCs w:val="24"/>
        </w:rPr>
        <w:t xml:space="preserve">2.1 </w:t>
      </w:r>
      <w:r w:rsidR="00D904F2">
        <w:rPr>
          <w:rFonts w:cs="Arial"/>
          <w:b/>
          <w:sz w:val="24"/>
          <w:szCs w:val="24"/>
        </w:rPr>
        <w:tab/>
      </w:r>
      <w:r w:rsidRPr="00D904F2">
        <w:rPr>
          <w:rFonts w:cs="Arial"/>
          <w:b/>
          <w:sz w:val="24"/>
          <w:szCs w:val="24"/>
        </w:rPr>
        <w:t>Versuchsstandort</w:t>
      </w:r>
    </w:p>
    <w:p w14:paraId="26A22EAC" w14:textId="5A1F2F40" w:rsidR="007E1CE2" w:rsidRDefault="007E1CE2" w:rsidP="007E1CE2">
      <w:pPr>
        <w:tabs>
          <w:tab w:val="left" w:pos="0"/>
        </w:tabs>
        <w:spacing w:before="60" w:after="120"/>
        <w:rPr>
          <w:rFonts w:cs="Arial"/>
          <w:sz w:val="24"/>
          <w:szCs w:val="24"/>
        </w:rPr>
      </w:pPr>
      <w:r w:rsidRPr="007E1CE2">
        <w:rPr>
          <w:rFonts w:cs="Arial"/>
          <w:sz w:val="24"/>
          <w:szCs w:val="24"/>
        </w:rPr>
        <w:t>Der Versuchsstandort Bernburg befindet sich in Mitteldeutschland in der Lössregion Sachsen-Anhalts. Die klimatischen Verhältnisse sind durch niedrige Niederschläge von langjährig (1981-2010) 511 mm und Jahresdurchschnittstemperaturen von 9,7 °C charakterisiert. Der Boden ist ein Normtschernosem mit der Bodenart stark toniger Schluff (Ut4; 22 % Ton, 69 % Schluff, 9 % Sand). Der Oberboden (0-30 cm) weist organische Kohlenstoffgehalte von 1,24 (± 0,05) %, Gesamt-N-Gehalte von 0,12 (± 0,01) %, Gesamt-Kohlenstoffgehalte von 1,4 (± 0,07) %, pH-Werte von 7,4 (± 0,1) und eine potentielle Kationenaustauschkapazität von 18,9 (± 0,4) cmol</w:t>
      </w:r>
      <w:r w:rsidRPr="007E1CE2">
        <w:rPr>
          <w:rFonts w:cs="Arial"/>
          <w:sz w:val="24"/>
          <w:szCs w:val="24"/>
          <w:vertAlign w:val="superscript"/>
        </w:rPr>
        <w:t>+</w:t>
      </w:r>
      <w:r w:rsidRPr="007E1CE2">
        <w:rPr>
          <w:rFonts w:cs="Arial"/>
          <w:sz w:val="24"/>
          <w:szCs w:val="24"/>
        </w:rPr>
        <w:t xml:space="preserve">/kg auf. </w:t>
      </w:r>
    </w:p>
    <w:p w14:paraId="5F72A04C" w14:textId="77777777" w:rsidR="007F7FC7" w:rsidRPr="007E1CE2" w:rsidRDefault="007F7FC7" w:rsidP="007E1CE2">
      <w:pPr>
        <w:tabs>
          <w:tab w:val="left" w:pos="0"/>
        </w:tabs>
        <w:spacing w:before="60" w:after="120"/>
        <w:rPr>
          <w:rFonts w:cs="Arial"/>
          <w:sz w:val="24"/>
          <w:szCs w:val="24"/>
        </w:rPr>
      </w:pPr>
    </w:p>
    <w:p w14:paraId="36E53D73" w14:textId="42876676" w:rsidR="007E1CE2" w:rsidRPr="007F7FC7" w:rsidRDefault="007F7FC7" w:rsidP="007E1CE2">
      <w:pPr>
        <w:tabs>
          <w:tab w:val="left" w:pos="0"/>
        </w:tabs>
        <w:spacing w:before="0" w:after="0"/>
        <w:rPr>
          <w:rFonts w:cs="Arial"/>
          <w:b/>
          <w:sz w:val="24"/>
          <w:szCs w:val="24"/>
        </w:rPr>
      </w:pPr>
      <w:r w:rsidRPr="007F7FC7">
        <w:rPr>
          <w:rFonts w:cs="Arial"/>
          <w:b/>
          <w:sz w:val="24"/>
          <w:szCs w:val="24"/>
        </w:rPr>
        <w:t>2.1</w:t>
      </w:r>
      <w:r w:rsidRPr="007F7FC7">
        <w:rPr>
          <w:rFonts w:cs="Arial"/>
          <w:b/>
          <w:sz w:val="24"/>
          <w:szCs w:val="24"/>
        </w:rPr>
        <w:tab/>
      </w:r>
      <w:r>
        <w:rPr>
          <w:rFonts w:cs="Arial"/>
          <w:b/>
          <w:sz w:val="24"/>
          <w:szCs w:val="24"/>
        </w:rPr>
        <w:t>Fruchtfolgeve</w:t>
      </w:r>
      <w:r w:rsidRPr="007F7FC7">
        <w:rPr>
          <w:rFonts w:cs="Arial"/>
          <w:b/>
          <w:sz w:val="24"/>
          <w:szCs w:val="24"/>
        </w:rPr>
        <w:t>rsuch</w:t>
      </w:r>
    </w:p>
    <w:p w14:paraId="13732AC3" w14:textId="43149DE2" w:rsidR="007E1CE2" w:rsidRDefault="007E1CE2" w:rsidP="007F7FC7">
      <w:pPr>
        <w:tabs>
          <w:tab w:val="left" w:pos="0"/>
        </w:tabs>
        <w:spacing w:before="60" w:after="120"/>
        <w:rPr>
          <w:rFonts w:cs="Arial"/>
          <w:sz w:val="24"/>
          <w:szCs w:val="24"/>
        </w:rPr>
      </w:pPr>
      <w:r w:rsidRPr="007E1CE2">
        <w:rPr>
          <w:rFonts w:cs="Arial"/>
          <w:sz w:val="24"/>
          <w:szCs w:val="24"/>
        </w:rPr>
        <w:t xml:space="preserve">Im Parzellenversuch (Lateinisches Quadrat, 9 x 9 m, 4 Wiederholungen) wurden folgende Prüfglieder untersucht: 1. Kontrolle </w:t>
      </w:r>
      <w:r w:rsidRPr="007E1CE2">
        <w:rPr>
          <w:rFonts w:cs="Arial"/>
          <w:sz w:val="24"/>
          <w:szCs w:val="24"/>
        </w:rPr>
        <w:t>ohne Harnstoffdüngung (CONTR), 2. oberflächige Harnstoffausbringung (SURF), 3. Harnstoff-Injektion (INJEC), 4. Harnstoff-N-Stabilisierung (STAB). Gedüngt wurden 130 kg/ha zu Winterraps, 200 kg/ha zu Winterweizen und 160 kg/ha zu Wintergerste. Bei der stabilisierten Harnstoffdüngung wurde dem Dünger ein kombinierter Urease- und Nitrifikationsinhibitor zugesetzt. Die Ausbringung des Düngers (granulierter Harnstoff) erfolgte bei der Injektionsvariante durch Zwischenreihendüngung (Side-Dressing-Verfahren) platziert in 5 bis 7 cm Tiefe, beim Winterraps zwischen jeder Reihe (Einzelkornsaat, Reihenabstand 37,5 cm) und beim Wintergetreide zwischen jeder zweiten Reihe (Drillsaat, Reihenabstand 12,5 cm). Die N</w:t>
      </w:r>
      <w:r w:rsidRPr="007E1CE2">
        <w:rPr>
          <w:rFonts w:cs="Arial"/>
          <w:sz w:val="24"/>
          <w:szCs w:val="24"/>
          <w:vertAlign w:val="subscript"/>
        </w:rPr>
        <w:t>2</w:t>
      </w:r>
      <w:r w:rsidRPr="007E1CE2">
        <w:rPr>
          <w:rFonts w:cs="Arial"/>
          <w:sz w:val="24"/>
          <w:szCs w:val="24"/>
        </w:rPr>
        <w:t>O-Emissionen wurden mit Hilfe geschlossener Sammelhauben (0,56 m²) einmal wöchentlich bzw. nach der Düngung zweimal wöchentlich bestimmt. Die Gasproben wurden nach 0, 20, 40 und 60 Minuten Verschlusszeit entnommen und gaschromatographisch im Labor des TI (Braunschweig) analysiert. Parallel zu den N</w:t>
      </w:r>
      <w:r w:rsidRPr="007E1CE2">
        <w:rPr>
          <w:rFonts w:cs="Arial"/>
          <w:sz w:val="24"/>
          <w:szCs w:val="24"/>
          <w:vertAlign w:val="subscript"/>
        </w:rPr>
        <w:t>2</w:t>
      </w:r>
      <w:r w:rsidRPr="007E1CE2">
        <w:rPr>
          <w:rFonts w:cs="Arial"/>
          <w:sz w:val="24"/>
          <w:szCs w:val="24"/>
        </w:rPr>
        <w:t>O-Messungen wurden die Bodentemperaturen (1, 5, 10 cm)</w:t>
      </w:r>
      <w:r w:rsidR="00EF1EB8">
        <w:rPr>
          <w:rFonts w:cs="Arial"/>
          <w:sz w:val="24"/>
          <w:szCs w:val="24"/>
        </w:rPr>
        <w:t>,</w:t>
      </w:r>
      <w:r w:rsidRPr="007E1CE2">
        <w:rPr>
          <w:rFonts w:cs="Arial"/>
          <w:sz w:val="24"/>
          <w:szCs w:val="24"/>
        </w:rPr>
        <w:t xml:space="preserve"> die Bodenwassergehalte gravimetrisch bei 105 °C und die Nmin-Gehalte des Bodens nach VDLUFA (2002) bis in 30 cm Tiefe ermittelt. </w:t>
      </w:r>
    </w:p>
    <w:p w14:paraId="2A5E63C5" w14:textId="77777777" w:rsidR="007F7FC7" w:rsidRPr="007E1CE2" w:rsidRDefault="007F7FC7" w:rsidP="007F7FC7">
      <w:pPr>
        <w:tabs>
          <w:tab w:val="left" w:pos="0"/>
        </w:tabs>
        <w:spacing w:before="60" w:after="120"/>
        <w:rPr>
          <w:rFonts w:cs="Arial"/>
          <w:sz w:val="24"/>
          <w:szCs w:val="24"/>
        </w:rPr>
      </w:pPr>
    </w:p>
    <w:p w14:paraId="443C4757" w14:textId="11A60D71" w:rsidR="007E1CE2" w:rsidRPr="007E1CE2" w:rsidRDefault="007F7FC7" w:rsidP="007F7FC7">
      <w:pPr>
        <w:tabs>
          <w:tab w:val="left" w:pos="0"/>
        </w:tabs>
        <w:spacing w:before="60" w:after="120"/>
        <w:rPr>
          <w:rFonts w:cs="Arial"/>
          <w:sz w:val="24"/>
          <w:szCs w:val="24"/>
        </w:rPr>
      </w:pPr>
      <w:r w:rsidRPr="007F7FC7">
        <w:rPr>
          <w:rFonts w:cs="Arial"/>
          <w:b/>
          <w:sz w:val="24"/>
          <w:szCs w:val="24"/>
        </w:rPr>
        <w:t>2.</w:t>
      </w:r>
      <w:r>
        <w:rPr>
          <w:rFonts w:cs="Arial"/>
          <w:b/>
          <w:sz w:val="24"/>
          <w:szCs w:val="24"/>
        </w:rPr>
        <w:t>2</w:t>
      </w:r>
      <w:r w:rsidRPr="007F7FC7">
        <w:rPr>
          <w:rFonts w:cs="Arial"/>
          <w:b/>
          <w:sz w:val="24"/>
          <w:szCs w:val="24"/>
        </w:rPr>
        <w:tab/>
      </w:r>
      <w:r>
        <w:rPr>
          <w:rFonts w:cs="Arial"/>
          <w:b/>
          <w:sz w:val="24"/>
          <w:szCs w:val="24"/>
        </w:rPr>
        <w:t>Laborversuch</w:t>
      </w:r>
    </w:p>
    <w:p w14:paraId="7F6FA831" w14:textId="77777777" w:rsidR="00AA5931" w:rsidRPr="00AA5931" w:rsidRDefault="007E1CE2" w:rsidP="00AA5931">
      <w:pPr>
        <w:tabs>
          <w:tab w:val="left" w:pos="0"/>
        </w:tabs>
        <w:spacing w:before="60" w:after="120"/>
        <w:rPr>
          <w:rFonts w:cs="Arial"/>
          <w:sz w:val="24"/>
          <w:szCs w:val="24"/>
        </w:rPr>
      </w:pPr>
      <w:r w:rsidRPr="007E1CE2">
        <w:rPr>
          <w:rFonts w:cs="Arial"/>
          <w:sz w:val="24"/>
          <w:szCs w:val="24"/>
        </w:rPr>
        <w:t xml:space="preserve">Für den Laborversuch wurden im November 2018 Bodenproben (0-30 cm) von der SURF-Variante entnommen. Im Labor der BGD Ecosax GmbH wurden die Mineralisations- und Nitratabbauraten im Bodensättigungsextraktionsversuch (BSE) nach LfUG (2004) bestimmt. Die Analysen der Isotopensignaturen wurden am Stabilisotopenlabor der TU Dresden durchgeführt. </w:t>
      </w:r>
      <w:r w:rsidR="00AA5931" w:rsidRPr="00AA5931">
        <w:rPr>
          <w:rFonts w:cs="Arial"/>
          <w:sz w:val="24"/>
          <w:szCs w:val="24"/>
        </w:rPr>
        <w:t>Dabei wurde das Stabilisotopenverhältnis δ</w:t>
      </w:r>
      <w:r w:rsidR="00AA5931" w:rsidRPr="00AA5931">
        <w:rPr>
          <w:rFonts w:cs="Arial"/>
          <w:sz w:val="24"/>
          <w:szCs w:val="24"/>
          <w:vertAlign w:val="superscript"/>
        </w:rPr>
        <w:t xml:space="preserve"> 15</w:t>
      </w:r>
      <w:r w:rsidR="00AA5931" w:rsidRPr="00AA5931">
        <w:rPr>
          <w:rFonts w:cs="Arial"/>
          <w:sz w:val="24"/>
          <w:szCs w:val="24"/>
        </w:rPr>
        <w:t>N (Gesamt-N) im Feststoff (Boden, Dünger) durch Verbrennung im Elementaranalysator (EA 3000, Eurovektor) zu N</w:t>
      </w:r>
      <w:r w:rsidR="00AA5931" w:rsidRPr="00AA5931">
        <w:rPr>
          <w:rFonts w:cs="Arial"/>
          <w:sz w:val="24"/>
          <w:szCs w:val="24"/>
          <w:vertAlign w:val="subscript"/>
        </w:rPr>
        <w:t>2</w:t>
      </w:r>
      <w:r w:rsidR="00AA5931" w:rsidRPr="00AA5931">
        <w:rPr>
          <w:rFonts w:cs="Arial"/>
          <w:sz w:val="24"/>
          <w:szCs w:val="24"/>
        </w:rPr>
        <w:t xml:space="preserve"> und nachfolgender Isotopenanalytik am Isotopenverhältnis-Massenspektrometer (IRMS) (MAT 253, Thermo Fisher Scientific) ermittelt. Im Porenwasser </w:t>
      </w:r>
      <w:r w:rsidR="00AA5931" w:rsidRPr="00AA5931">
        <w:rPr>
          <w:rFonts w:cs="Arial"/>
          <w:sz w:val="24"/>
          <w:szCs w:val="24"/>
        </w:rPr>
        <w:lastRenderedPageBreak/>
        <w:t>wurden die δ</w:t>
      </w:r>
      <w:r w:rsidR="00AA5931" w:rsidRPr="00AA5931">
        <w:rPr>
          <w:rFonts w:cs="Arial"/>
          <w:sz w:val="24"/>
          <w:szCs w:val="24"/>
          <w:vertAlign w:val="superscript"/>
        </w:rPr>
        <w:t xml:space="preserve"> 15</w:t>
      </w:r>
      <w:r w:rsidR="00AA5931" w:rsidRPr="00AA5931">
        <w:rPr>
          <w:rFonts w:cs="Arial"/>
          <w:sz w:val="24"/>
          <w:szCs w:val="24"/>
        </w:rPr>
        <w:t>N-Werte von Ammonium (NH</w:t>
      </w:r>
      <w:r w:rsidR="00AA5931" w:rsidRPr="00AA5931">
        <w:rPr>
          <w:rFonts w:cs="Arial"/>
          <w:sz w:val="24"/>
          <w:szCs w:val="24"/>
          <w:vertAlign w:val="subscript"/>
        </w:rPr>
        <w:t>4</w:t>
      </w:r>
      <w:r w:rsidR="00AA5931" w:rsidRPr="00AA5931">
        <w:rPr>
          <w:rFonts w:cs="Arial"/>
          <w:sz w:val="24"/>
          <w:szCs w:val="24"/>
          <w:vertAlign w:val="superscript"/>
        </w:rPr>
        <w:t>+</w:t>
      </w:r>
      <w:r w:rsidR="00AA5931" w:rsidRPr="00AA5931">
        <w:rPr>
          <w:rFonts w:cs="Arial"/>
          <w:sz w:val="24"/>
          <w:szCs w:val="24"/>
        </w:rPr>
        <w:t>) nach Fällung als Ammoniumtetraphenylborat am EA-IRMS erfasst. Für die Bestimmung der Anteile des am Feststoff sorptiv gebundenen NH</w:t>
      </w:r>
      <w:r w:rsidR="00AA5931" w:rsidRPr="00AA5931">
        <w:rPr>
          <w:rFonts w:cs="Arial"/>
          <w:sz w:val="24"/>
          <w:szCs w:val="24"/>
          <w:vertAlign w:val="subscript"/>
        </w:rPr>
        <w:t>4</w:t>
      </w:r>
      <w:r w:rsidR="00AA5931" w:rsidRPr="00AA5931">
        <w:rPr>
          <w:rFonts w:cs="Arial"/>
          <w:sz w:val="24"/>
          <w:szCs w:val="24"/>
          <w:vertAlign w:val="superscript"/>
        </w:rPr>
        <w:t>+</w:t>
      </w:r>
      <w:r w:rsidR="00AA5931" w:rsidRPr="00AA5931">
        <w:rPr>
          <w:rFonts w:cs="Arial"/>
          <w:sz w:val="24"/>
          <w:szCs w:val="24"/>
        </w:rPr>
        <w:t xml:space="preserve"> wurde vor der Isotopenanalytik eine Bariumchlorid-Extraktion nach DIN EN ISO 11260 durchgeführt. Zur Bestimmung der δ</w:t>
      </w:r>
      <w:r w:rsidR="00AA5931" w:rsidRPr="00AA5931">
        <w:rPr>
          <w:rFonts w:cs="Arial"/>
          <w:sz w:val="24"/>
          <w:szCs w:val="24"/>
          <w:vertAlign w:val="superscript"/>
        </w:rPr>
        <w:t xml:space="preserve"> 15</w:t>
      </w:r>
      <w:r w:rsidR="00AA5931" w:rsidRPr="00AA5931">
        <w:rPr>
          <w:rFonts w:cs="Arial"/>
          <w:sz w:val="24"/>
          <w:szCs w:val="24"/>
        </w:rPr>
        <w:t>N- und δ</w:t>
      </w:r>
      <w:r w:rsidR="00AA5931" w:rsidRPr="00AA5931">
        <w:rPr>
          <w:rFonts w:cs="Arial"/>
          <w:sz w:val="24"/>
          <w:szCs w:val="24"/>
          <w:vertAlign w:val="superscript"/>
        </w:rPr>
        <w:t xml:space="preserve"> 18</w:t>
      </w:r>
      <w:r w:rsidR="00AA5931" w:rsidRPr="00AA5931">
        <w:rPr>
          <w:rFonts w:cs="Arial"/>
          <w:sz w:val="24"/>
          <w:szCs w:val="24"/>
        </w:rPr>
        <w:t xml:space="preserve">O- Werte des im Porenwasser gelösten Nitrats erfolgte eine Probenvorbereitung mittels Denitrifikationsmethode nach Sigman et al. (2001) und die Isotopenanalyse mit Hilfe einer GasBench II-IRMS-Kopplung (Thermo Fisher Scientific). </w:t>
      </w:r>
    </w:p>
    <w:p w14:paraId="5789BFE7" w14:textId="77777777" w:rsidR="007E1CE2" w:rsidRDefault="007E1CE2" w:rsidP="007F7FC7">
      <w:pPr>
        <w:tabs>
          <w:tab w:val="left" w:pos="0"/>
        </w:tabs>
        <w:spacing w:before="60" w:after="120"/>
        <w:rPr>
          <w:rFonts w:cs="Arial"/>
          <w:sz w:val="24"/>
          <w:szCs w:val="24"/>
        </w:rPr>
      </w:pPr>
    </w:p>
    <w:p w14:paraId="09ACD46D" w14:textId="0837C318" w:rsidR="007F7FC7" w:rsidRPr="007E1CE2" w:rsidRDefault="007F7FC7" w:rsidP="007F7FC7">
      <w:pPr>
        <w:tabs>
          <w:tab w:val="left" w:pos="0"/>
        </w:tabs>
        <w:spacing w:before="60" w:after="120"/>
        <w:rPr>
          <w:rFonts w:cs="Arial"/>
          <w:sz w:val="24"/>
          <w:szCs w:val="24"/>
        </w:rPr>
      </w:pPr>
      <w:r w:rsidRPr="007F7FC7">
        <w:rPr>
          <w:rFonts w:cs="Arial"/>
          <w:b/>
          <w:sz w:val="24"/>
          <w:szCs w:val="24"/>
        </w:rPr>
        <w:t>2.</w:t>
      </w:r>
      <w:r>
        <w:rPr>
          <w:rFonts w:cs="Arial"/>
          <w:b/>
          <w:sz w:val="24"/>
          <w:szCs w:val="24"/>
        </w:rPr>
        <w:t>3</w:t>
      </w:r>
      <w:r w:rsidRPr="007F7FC7">
        <w:rPr>
          <w:rFonts w:cs="Arial"/>
          <w:b/>
          <w:sz w:val="24"/>
          <w:szCs w:val="24"/>
        </w:rPr>
        <w:tab/>
      </w:r>
      <w:r w:rsidR="00074506">
        <w:rPr>
          <w:rFonts w:cs="Arial"/>
          <w:b/>
          <w:sz w:val="24"/>
          <w:szCs w:val="24"/>
        </w:rPr>
        <w:t>Statistische Auswertung</w:t>
      </w:r>
    </w:p>
    <w:p w14:paraId="44CB9E9D" w14:textId="02ED5C6F" w:rsidR="0021210B" w:rsidRDefault="007E1CE2" w:rsidP="00074506">
      <w:pPr>
        <w:tabs>
          <w:tab w:val="left" w:pos="0"/>
        </w:tabs>
        <w:spacing w:before="60" w:after="120"/>
        <w:rPr>
          <w:rFonts w:cs="Arial"/>
          <w:sz w:val="24"/>
          <w:szCs w:val="24"/>
        </w:rPr>
      </w:pPr>
      <w:r w:rsidRPr="007E1CE2">
        <w:rPr>
          <w:rFonts w:cs="Arial"/>
          <w:sz w:val="24"/>
          <w:szCs w:val="24"/>
        </w:rPr>
        <w:t>Die statistischen Auswertungen erfolgten mit SPSS (Vers. 22).</w:t>
      </w:r>
      <w:r w:rsidR="007F7FC7">
        <w:rPr>
          <w:rFonts w:cs="Arial"/>
          <w:sz w:val="24"/>
          <w:szCs w:val="24"/>
        </w:rPr>
        <w:t xml:space="preserve"> </w:t>
      </w:r>
      <w:r w:rsidR="005E1CF1">
        <w:rPr>
          <w:rFonts w:cs="Arial"/>
          <w:sz w:val="24"/>
          <w:szCs w:val="24"/>
        </w:rPr>
        <w:t>Die Daten wurden auf Varianzhomogenität (Levene-Test) und auf Normalverteilung (Shapiro-Wilk-Test) geprüft. Zur Prüfung signifikanter Unterschiede zwischen den Versuchsvarianten wurde eine einfaktorielle Varianzanalyse (ANOVA) mit Tukey-Test (Tukey HSD, p&lt;0.05, post hoc Test</w:t>
      </w:r>
      <w:r w:rsidR="000051B8">
        <w:rPr>
          <w:rFonts w:cs="Arial"/>
          <w:sz w:val="24"/>
          <w:szCs w:val="24"/>
        </w:rPr>
        <w:t>)</w:t>
      </w:r>
      <w:r w:rsidR="005E1CF1">
        <w:rPr>
          <w:rFonts w:cs="Arial"/>
          <w:sz w:val="24"/>
          <w:szCs w:val="24"/>
        </w:rPr>
        <w:t xml:space="preserve"> durchgeführt. </w:t>
      </w:r>
      <w:r w:rsidR="004847AB">
        <w:rPr>
          <w:rFonts w:cs="Arial"/>
          <w:sz w:val="24"/>
          <w:szCs w:val="24"/>
        </w:rPr>
        <w:t>D</w:t>
      </w:r>
      <w:r w:rsidR="00917384">
        <w:rPr>
          <w:rFonts w:cs="Arial"/>
          <w:sz w:val="24"/>
          <w:szCs w:val="24"/>
        </w:rPr>
        <w:t>ie wichtigsten Einflussfaktoren auf die N</w:t>
      </w:r>
      <w:r w:rsidR="00917384" w:rsidRPr="00917384">
        <w:rPr>
          <w:rFonts w:cs="Arial"/>
          <w:sz w:val="24"/>
          <w:szCs w:val="24"/>
          <w:vertAlign w:val="subscript"/>
        </w:rPr>
        <w:t>2</w:t>
      </w:r>
      <w:r w:rsidR="00917384">
        <w:rPr>
          <w:rFonts w:cs="Arial"/>
          <w:sz w:val="24"/>
          <w:szCs w:val="24"/>
        </w:rPr>
        <w:t xml:space="preserve">O-Emissionen </w:t>
      </w:r>
      <w:r w:rsidR="00917384">
        <w:rPr>
          <w:rFonts w:cs="Arial"/>
          <w:sz w:val="24"/>
          <w:szCs w:val="24"/>
        </w:rPr>
        <w:t>wurde</w:t>
      </w:r>
      <w:r w:rsidR="004847AB">
        <w:rPr>
          <w:rFonts w:cs="Arial"/>
          <w:sz w:val="24"/>
          <w:szCs w:val="24"/>
        </w:rPr>
        <w:t>n mit Hilfe</w:t>
      </w:r>
      <w:r w:rsidR="00917384">
        <w:rPr>
          <w:rFonts w:cs="Arial"/>
          <w:sz w:val="24"/>
          <w:szCs w:val="24"/>
        </w:rPr>
        <w:t xml:space="preserve"> e</w:t>
      </w:r>
      <w:r w:rsidR="005E1CF1">
        <w:rPr>
          <w:rFonts w:cs="Arial"/>
          <w:sz w:val="24"/>
          <w:szCs w:val="24"/>
        </w:rPr>
        <w:t>ine</w:t>
      </w:r>
      <w:r w:rsidR="004847AB">
        <w:rPr>
          <w:rFonts w:cs="Arial"/>
          <w:sz w:val="24"/>
          <w:szCs w:val="24"/>
        </w:rPr>
        <w:t>r</w:t>
      </w:r>
      <w:r w:rsidR="005E1CF1">
        <w:rPr>
          <w:rFonts w:cs="Arial"/>
          <w:sz w:val="24"/>
          <w:szCs w:val="24"/>
        </w:rPr>
        <w:t xml:space="preserve"> </w:t>
      </w:r>
      <w:r w:rsidR="00074506">
        <w:rPr>
          <w:rFonts w:cs="Arial"/>
          <w:sz w:val="24"/>
          <w:szCs w:val="24"/>
        </w:rPr>
        <w:t>Korrelations- und multiple</w:t>
      </w:r>
      <w:r w:rsidR="004847AB">
        <w:rPr>
          <w:rFonts w:cs="Arial"/>
          <w:sz w:val="24"/>
          <w:szCs w:val="24"/>
        </w:rPr>
        <w:t>n</w:t>
      </w:r>
      <w:r w:rsidR="00074506">
        <w:rPr>
          <w:rFonts w:cs="Arial"/>
          <w:sz w:val="24"/>
          <w:szCs w:val="24"/>
        </w:rPr>
        <w:t xml:space="preserve"> Regressionsanalyse </w:t>
      </w:r>
      <w:r w:rsidR="004847AB">
        <w:rPr>
          <w:rFonts w:cs="Arial"/>
          <w:sz w:val="24"/>
          <w:szCs w:val="24"/>
        </w:rPr>
        <w:t>ermittelt</w:t>
      </w:r>
      <w:r w:rsidR="00917384">
        <w:rPr>
          <w:rFonts w:cs="Arial"/>
          <w:sz w:val="24"/>
          <w:szCs w:val="24"/>
        </w:rPr>
        <w:t>.</w:t>
      </w:r>
    </w:p>
    <w:p w14:paraId="42863D1A" w14:textId="77777777" w:rsidR="00074506" w:rsidRPr="007E1CE2" w:rsidRDefault="00074506" w:rsidP="00074506">
      <w:pPr>
        <w:tabs>
          <w:tab w:val="left" w:pos="0"/>
        </w:tabs>
        <w:spacing w:before="60" w:after="120"/>
        <w:rPr>
          <w:rFonts w:cs="Arial"/>
          <w:sz w:val="24"/>
          <w:szCs w:val="24"/>
        </w:rPr>
      </w:pPr>
    </w:p>
    <w:p w14:paraId="6ACDB957" w14:textId="77777777" w:rsidR="0021210B" w:rsidRPr="0021210B" w:rsidRDefault="0021210B" w:rsidP="0021210B">
      <w:pPr>
        <w:tabs>
          <w:tab w:val="left" w:pos="0"/>
        </w:tabs>
        <w:spacing w:before="0" w:after="0"/>
        <w:rPr>
          <w:rFonts w:cs="Arial"/>
          <w:b/>
          <w:sz w:val="24"/>
          <w:szCs w:val="24"/>
        </w:rPr>
      </w:pPr>
      <w:r w:rsidRPr="0021210B">
        <w:rPr>
          <w:rFonts w:cs="Arial"/>
          <w:b/>
          <w:sz w:val="24"/>
          <w:szCs w:val="24"/>
        </w:rPr>
        <w:t>3</w:t>
      </w:r>
      <w:r w:rsidRPr="0021210B">
        <w:rPr>
          <w:rFonts w:cs="Arial"/>
          <w:b/>
          <w:sz w:val="24"/>
          <w:szCs w:val="24"/>
        </w:rPr>
        <w:tab/>
        <w:t>Ergebnisse und Diskussion</w:t>
      </w:r>
    </w:p>
    <w:p w14:paraId="714C28BD" w14:textId="77777777" w:rsidR="0021210B" w:rsidRPr="0021210B" w:rsidRDefault="0021210B" w:rsidP="0021210B">
      <w:pPr>
        <w:tabs>
          <w:tab w:val="left" w:pos="0"/>
        </w:tabs>
        <w:spacing w:before="60" w:after="120"/>
        <w:ind w:left="567" w:hanging="567"/>
        <w:rPr>
          <w:rFonts w:cs="Arial"/>
          <w:b/>
          <w:sz w:val="24"/>
          <w:szCs w:val="24"/>
        </w:rPr>
      </w:pPr>
      <w:r w:rsidRPr="0021210B">
        <w:rPr>
          <w:rFonts w:cs="Arial"/>
          <w:b/>
          <w:sz w:val="24"/>
          <w:szCs w:val="24"/>
        </w:rPr>
        <w:t>3.1</w:t>
      </w:r>
      <w:r w:rsidRPr="0021210B">
        <w:rPr>
          <w:rFonts w:cs="Arial"/>
          <w:b/>
          <w:sz w:val="24"/>
          <w:szCs w:val="24"/>
        </w:rPr>
        <w:tab/>
        <w:t>Niederschlag, Bodenfeuchte und Nmin-Dynamik</w:t>
      </w:r>
    </w:p>
    <w:p w14:paraId="20852F7C" w14:textId="77777777" w:rsidR="0021210B" w:rsidRPr="0021210B" w:rsidRDefault="0021210B" w:rsidP="0021210B">
      <w:pPr>
        <w:tabs>
          <w:tab w:val="left" w:pos="0"/>
        </w:tabs>
        <w:spacing w:before="60" w:after="120"/>
        <w:rPr>
          <w:rFonts w:cs="Arial"/>
          <w:sz w:val="24"/>
          <w:szCs w:val="24"/>
        </w:rPr>
      </w:pPr>
      <w:r w:rsidRPr="0021210B">
        <w:rPr>
          <w:rFonts w:cs="Arial"/>
          <w:sz w:val="24"/>
          <w:szCs w:val="24"/>
        </w:rPr>
        <w:t xml:space="preserve">Im Versuchszeitraum wurden Niederschlagsmengen von 513 mm (2017), 372 mm (2018) und 228 mm (Januar bis Juli 2019) registriert. Im Vergleich zum langjährigen Mittel (1981-2010) waren insbesondere die Hauptvegetationszeiten (April bis Juli) der Jahre 2018 und 2019 sowie der Herbst 2016 ausgesprochen niederschlagsarm. Das anhand der Bodenwassergehalte berechnete wassergesättigte Porenvolumen (WFPS) lag im Bereich von 25 bis 70 %. Die höchste Bodenwassersättigung wurde in den Wintermonaten (v. a. Januar bis März) und die niedrigste in den Sommermonaten (Juni/Juli 2018 und 2019) gemessen. Die für </w:t>
      </w:r>
      <w:r w:rsidRPr="0021210B">
        <w:rPr>
          <w:rFonts w:cs="Arial"/>
          <w:sz w:val="24"/>
          <w:szCs w:val="24"/>
        </w:rPr>
        <w:t>eine relevante N</w:t>
      </w:r>
      <w:r w:rsidRPr="0021210B">
        <w:rPr>
          <w:rFonts w:cs="Arial"/>
          <w:sz w:val="24"/>
          <w:szCs w:val="24"/>
          <w:vertAlign w:val="subscript"/>
        </w:rPr>
        <w:t>2</w:t>
      </w:r>
      <w:r w:rsidRPr="0021210B">
        <w:rPr>
          <w:rFonts w:cs="Arial"/>
          <w:sz w:val="24"/>
          <w:szCs w:val="24"/>
        </w:rPr>
        <w:t xml:space="preserve">O-Bildung über die Prozesse der Nitrifikation und Denitrifikation erforderlichen Bodenfeuchtebedingungen (WFPS&gt;50 %) nach Davidson (1991) waren fast ausschließlich nur in den Wintermonaten messbar. </w:t>
      </w:r>
    </w:p>
    <w:p w14:paraId="0969FEB9" w14:textId="77777777" w:rsidR="0021210B" w:rsidRPr="0021210B" w:rsidRDefault="0021210B" w:rsidP="0021210B">
      <w:pPr>
        <w:tabs>
          <w:tab w:val="left" w:pos="0"/>
        </w:tabs>
        <w:spacing w:before="0" w:after="0"/>
        <w:rPr>
          <w:rFonts w:cs="Arial"/>
          <w:sz w:val="24"/>
          <w:szCs w:val="24"/>
        </w:rPr>
      </w:pPr>
      <w:r w:rsidRPr="0021210B">
        <w:rPr>
          <w:rFonts w:cs="Arial"/>
          <w:sz w:val="24"/>
          <w:szCs w:val="24"/>
        </w:rPr>
        <w:t>Die höchsten Nmin-Gehalte von 9,2 mg/100 g TM wurden im Oberboden der INJEC-Variante im ersten Versuchsjahr erfasst (Abb. 1).</w:t>
      </w:r>
    </w:p>
    <w:p w14:paraId="3A1141D7" w14:textId="6AB8588E" w:rsidR="00B34F3A" w:rsidRDefault="002C7F9F" w:rsidP="00B34F3A">
      <w:pPr>
        <w:tabs>
          <w:tab w:val="left" w:pos="0"/>
        </w:tabs>
        <w:spacing w:before="0" w:after="0"/>
        <w:rPr>
          <w:rFonts w:cs="Arial"/>
          <w:sz w:val="24"/>
          <w:szCs w:val="24"/>
        </w:rPr>
      </w:pPr>
      <w:r w:rsidRPr="002C7F9F">
        <w:drawing>
          <wp:inline distT="0" distB="0" distL="0" distR="0" wp14:anchorId="3B6857E5" wp14:editId="11B5A9D2">
            <wp:extent cx="2924810" cy="20891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2089150"/>
                    </a:xfrm>
                    <a:prstGeom prst="rect">
                      <a:avLst/>
                    </a:prstGeom>
                    <a:noFill/>
                    <a:ln>
                      <a:noFill/>
                    </a:ln>
                  </pic:spPr>
                </pic:pic>
              </a:graphicData>
            </a:graphic>
          </wp:inline>
        </w:drawing>
      </w:r>
    </w:p>
    <w:p w14:paraId="1856B332" w14:textId="77777777" w:rsidR="002C7F9F" w:rsidRPr="0034459E" w:rsidRDefault="002C7F9F" w:rsidP="002C7F9F">
      <w:pPr>
        <w:tabs>
          <w:tab w:val="left" w:pos="0"/>
        </w:tabs>
        <w:spacing w:before="0" w:after="0"/>
        <w:rPr>
          <w:rFonts w:cs="Arial"/>
          <w:b/>
          <w:sz w:val="18"/>
          <w:szCs w:val="18"/>
        </w:rPr>
      </w:pPr>
      <w:r w:rsidRPr="0034459E">
        <w:rPr>
          <w:rFonts w:cs="Arial"/>
          <w:b/>
          <w:sz w:val="18"/>
          <w:szCs w:val="18"/>
        </w:rPr>
        <w:t xml:space="preserve">Abbildung </w:t>
      </w:r>
      <w:r w:rsidRPr="0034459E">
        <w:rPr>
          <w:rFonts w:cs="Arial"/>
          <w:b/>
          <w:sz w:val="18"/>
          <w:szCs w:val="18"/>
        </w:rPr>
        <w:fldChar w:fldCharType="begin"/>
      </w:r>
      <w:r w:rsidRPr="0034459E">
        <w:rPr>
          <w:rFonts w:cs="Arial"/>
          <w:b/>
          <w:sz w:val="18"/>
          <w:szCs w:val="18"/>
        </w:rPr>
        <w:instrText xml:space="preserve"> SEQ Abbildung \* ARABIC </w:instrText>
      </w:r>
      <w:r w:rsidRPr="0034459E">
        <w:rPr>
          <w:rFonts w:cs="Arial"/>
          <w:b/>
          <w:sz w:val="18"/>
          <w:szCs w:val="18"/>
        </w:rPr>
        <w:fldChar w:fldCharType="separate"/>
      </w:r>
      <w:r w:rsidR="004E579E">
        <w:rPr>
          <w:rFonts w:cs="Arial"/>
          <w:b/>
          <w:noProof/>
          <w:sz w:val="18"/>
          <w:szCs w:val="18"/>
        </w:rPr>
        <w:t>1</w:t>
      </w:r>
      <w:r w:rsidRPr="0034459E">
        <w:rPr>
          <w:rFonts w:cs="Arial"/>
          <w:b/>
          <w:sz w:val="18"/>
          <w:szCs w:val="18"/>
        </w:rPr>
        <w:fldChar w:fldCharType="end"/>
      </w:r>
      <w:r w:rsidRPr="0034459E">
        <w:rPr>
          <w:rFonts w:cs="Arial"/>
          <w:b/>
          <w:sz w:val="18"/>
          <w:szCs w:val="18"/>
        </w:rPr>
        <w:t xml:space="preserve">: Nmin-Dynamik im Oberboden (0-30 cm) </w:t>
      </w:r>
    </w:p>
    <w:p w14:paraId="46028ACF" w14:textId="77777777" w:rsidR="0021210B" w:rsidRDefault="0021210B" w:rsidP="00B34F3A">
      <w:pPr>
        <w:tabs>
          <w:tab w:val="left" w:pos="0"/>
        </w:tabs>
        <w:spacing w:before="0" w:after="0"/>
        <w:rPr>
          <w:rFonts w:cs="Arial"/>
          <w:sz w:val="24"/>
          <w:szCs w:val="24"/>
        </w:rPr>
      </w:pPr>
    </w:p>
    <w:p w14:paraId="0F2621BC" w14:textId="77777777" w:rsidR="006B3695" w:rsidRDefault="006B3695" w:rsidP="006B3695">
      <w:pPr>
        <w:tabs>
          <w:tab w:val="left" w:pos="0"/>
        </w:tabs>
        <w:spacing w:before="0" w:after="0"/>
        <w:rPr>
          <w:rFonts w:cs="Arial"/>
          <w:sz w:val="24"/>
          <w:szCs w:val="24"/>
        </w:rPr>
      </w:pPr>
      <w:r w:rsidRPr="006B3695">
        <w:rPr>
          <w:rFonts w:cs="Arial"/>
          <w:sz w:val="24"/>
          <w:szCs w:val="24"/>
        </w:rPr>
        <w:t>Nach der Düngung war bei allen gedüngten Varianten ein deutlicher Anstieg der Nmin-Gehalte feststellbar. Dabei wurden im ersten Versuchsjahr im Vergleich zu den Folgejahren über einen längeren Zeitraum nach der Düngung noch hohe Nmin-Gehalte ermittelt. In allen Versuchsvarianten zeigte sich ein Anstieg der Nmin-Gehalte nach der Ernte in Verbindung mit der Bodenbearbeitung. Im Versuchsjahr 2018 waren die Nmin-Gehalte aufgrund der durch die Trockenheit bedingten geringen Erträge und N-Entzüge lange auf einem vergleichsweise hohen Niveau. Erst mit den im Dezember 2018 einsetzenden höheren Niederschlägen (58 mm) war eine Abnahme der Nmin-Gehalte zu beobachten.</w:t>
      </w:r>
    </w:p>
    <w:p w14:paraId="0E1F1B03" w14:textId="77777777" w:rsidR="00366A55" w:rsidRPr="006B3695" w:rsidRDefault="00366A55" w:rsidP="006B3695">
      <w:pPr>
        <w:tabs>
          <w:tab w:val="left" w:pos="0"/>
        </w:tabs>
        <w:spacing w:before="0" w:after="0"/>
        <w:rPr>
          <w:rFonts w:cs="Arial"/>
          <w:sz w:val="24"/>
          <w:szCs w:val="24"/>
        </w:rPr>
      </w:pPr>
    </w:p>
    <w:p w14:paraId="47D1F949" w14:textId="77777777" w:rsidR="005A3116" w:rsidRPr="005A3116" w:rsidRDefault="005A3116" w:rsidP="005A3116">
      <w:pPr>
        <w:tabs>
          <w:tab w:val="left" w:pos="0"/>
        </w:tabs>
        <w:spacing w:before="60" w:after="120"/>
        <w:ind w:left="567" w:hanging="567"/>
        <w:rPr>
          <w:rFonts w:cs="Arial"/>
          <w:b/>
          <w:sz w:val="24"/>
          <w:szCs w:val="24"/>
        </w:rPr>
      </w:pPr>
      <w:r w:rsidRPr="005A3116">
        <w:rPr>
          <w:rFonts w:cs="Arial"/>
          <w:b/>
          <w:sz w:val="24"/>
          <w:szCs w:val="24"/>
        </w:rPr>
        <w:t>3.2</w:t>
      </w:r>
      <w:r w:rsidRPr="005A3116">
        <w:rPr>
          <w:rFonts w:cs="Arial"/>
          <w:b/>
          <w:sz w:val="24"/>
          <w:szCs w:val="24"/>
        </w:rPr>
        <w:tab/>
        <w:t>N</w:t>
      </w:r>
      <w:r w:rsidRPr="005A3116">
        <w:rPr>
          <w:rFonts w:cs="Arial"/>
          <w:b/>
          <w:sz w:val="24"/>
          <w:szCs w:val="24"/>
          <w:vertAlign w:val="subscript"/>
        </w:rPr>
        <w:t>2</w:t>
      </w:r>
      <w:r w:rsidRPr="005A3116">
        <w:rPr>
          <w:rFonts w:cs="Arial"/>
          <w:b/>
          <w:sz w:val="24"/>
          <w:szCs w:val="24"/>
        </w:rPr>
        <w:t>O-Emissionen und Einflussfaktoren</w:t>
      </w:r>
    </w:p>
    <w:p w14:paraId="287574BA" w14:textId="77777777" w:rsidR="005A3116" w:rsidRDefault="005A3116" w:rsidP="005A3116">
      <w:pPr>
        <w:tabs>
          <w:tab w:val="left" w:pos="0"/>
        </w:tabs>
        <w:spacing w:before="60" w:after="120"/>
        <w:rPr>
          <w:rFonts w:cs="Arial"/>
          <w:sz w:val="24"/>
          <w:szCs w:val="24"/>
        </w:rPr>
      </w:pPr>
      <w:r w:rsidRPr="005A3116">
        <w:rPr>
          <w:rFonts w:cs="Arial"/>
          <w:sz w:val="24"/>
          <w:szCs w:val="24"/>
        </w:rPr>
        <w:t>Die im Versuchszeitraum ermittelten N</w:t>
      </w:r>
      <w:r w:rsidRPr="005A3116">
        <w:rPr>
          <w:rFonts w:cs="Arial"/>
          <w:sz w:val="24"/>
          <w:szCs w:val="24"/>
          <w:vertAlign w:val="subscript"/>
        </w:rPr>
        <w:t>2</w:t>
      </w:r>
      <w:r w:rsidRPr="005A3116">
        <w:rPr>
          <w:rFonts w:cs="Arial"/>
          <w:sz w:val="24"/>
          <w:szCs w:val="24"/>
        </w:rPr>
        <w:t>O-Emissionen lagen im Bereich von -20 bis 68 µg m</w:t>
      </w:r>
      <w:r w:rsidRPr="005A3116">
        <w:rPr>
          <w:rFonts w:cs="Arial"/>
          <w:sz w:val="24"/>
          <w:szCs w:val="24"/>
          <w:vertAlign w:val="superscript"/>
        </w:rPr>
        <w:t>-</w:t>
      </w:r>
      <w:r w:rsidRPr="005A3116">
        <w:rPr>
          <w:rFonts w:cs="Arial"/>
          <w:sz w:val="24"/>
          <w:szCs w:val="24"/>
        </w:rPr>
        <w:t>² h</w:t>
      </w:r>
      <w:r w:rsidRPr="005A3116">
        <w:rPr>
          <w:rFonts w:cs="Arial"/>
          <w:sz w:val="24"/>
          <w:szCs w:val="24"/>
          <w:vertAlign w:val="superscript"/>
        </w:rPr>
        <w:t>-1</w:t>
      </w:r>
      <w:r w:rsidRPr="005A3116">
        <w:rPr>
          <w:rFonts w:cs="Arial"/>
          <w:sz w:val="24"/>
          <w:szCs w:val="24"/>
        </w:rPr>
        <w:t xml:space="preserve"> (Abb. 2). </w:t>
      </w:r>
    </w:p>
    <w:p w14:paraId="2644C37F" w14:textId="54F56EEA" w:rsidR="005A3116" w:rsidRPr="005A3116" w:rsidRDefault="000F4F51" w:rsidP="005A3116">
      <w:pPr>
        <w:tabs>
          <w:tab w:val="left" w:pos="0"/>
        </w:tabs>
        <w:spacing w:before="0" w:after="0"/>
        <w:rPr>
          <w:rFonts w:cs="Arial"/>
          <w:sz w:val="24"/>
          <w:szCs w:val="24"/>
        </w:rPr>
      </w:pPr>
      <w:r w:rsidRPr="000F4F51">
        <w:lastRenderedPageBreak/>
        <w:drawing>
          <wp:inline distT="0" distB="0" distL="0" distR="0" wp14:anchorId="2841511B" wp14:editId="341DB058">
            <wp:extent cx="2924810" cy="2093516"/>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2093516"/>
                    </a:xfrm>
                    <a:prstGeom prst="rect">
                      <a:avLst/>
                    </a:prstGeom>
                    <a:noFill/>
                    <a:ln>
                      <a:noFill/>
                    </a:ln>
                  </pic:spPr>
                </pic:pic>
              </a:graphicData>
            </a:graphic>
          </wp:inline>
        </w:drawing>
      </w:r>
    </w:p>
    <w:p w14:paraId="57CB27A0" w14:textId="77777777" w:rsidR="000E0979" w:rsidRPr="0034459E" w:rsidRDefault="000E0979" w:rsidP="000E0979">
      <w:pPr>
        <w:tabs>
          <w:tab w:val="left" w:pos="0"/>
        </w:tabs>
        <w:spacing w:before="0" w:after="0"/>
        <w:rPr>
          <w:rFonts w:cs="Arial"/>
          <w:b/>
          <w:sz w:val="18"/>
          <w:szCs w:val="18"/>
        </w:rPr>
      </w:pPr>
      <w:r w:rsidRPr="0034459E">
        <w:rPr>
          <w:rFonts w:cs="Arial"/>
          <w:b/>
          <w:sz w:val="18"/>
          <w:szCs w:val="18"/>
        </w:rPr>
        <w:t xml:space="preserve">Abbildung </w:t>
      </w:r>
      <w:r w:rsidRPr="0034459E">
        <w:rPr>
          <w:rFonts w:cs="Arial"/>
          <w:b/>
          <w:sz w:val="18"/>
          <w:szCs w:val="18"/>
        </w:rPr>
        <w:fldChar w:fldCharType="begin"/>
      </w:r>
      <w:r w:rsidRPr="0034459E">
        <w:rPr>
          <w:rFonts w:cs="Arial"/>
          <w:b/>
          <w:sz w:val="18"/>
          <w:szCs w:val="18"/>
        </w:rPr>
        <w:instrText xml:space="preserve"> SEQ Abbildung \* ARABIC </w:instrText>
      </w:r>
      <w:r w:rsidRPr="0034459E">
        <w:rPr>
          <w:rFonts w:cs="Arial"/>
          <w:b/>
          <w:sz w:val="18"/>
          <w:szCs w:val="18"/>
        </w:rPr>
        <w:fldChar w:fldCharType="separate"/>
      </w:r>
      <w:r w:rsidR="004E579E">
        <w:rPr>
          <w:rFonts w:cs="Arial"/>
          <w:b/>
          <w:noProof/>
          <w:sz w:val="18"/>
          <w:szCs w:val="18"/>
        </w:rPr>
        <w:t>2</w:t>
      </w:r>
      <w:r w:rsidRPr="0034459E">
        <w:rPr>
          <w:rFonts w:cs="Arial"/>
          <w:b/>
          <w:sz w:val="18"/>
          <w:szCs w:val="18"/>
        </w:rPr>
        <w:fldChar w:fldCharType="end"/>
      </w:r>
      <w:r w:rsidRPr="0034459E">
        <w:rPr>
          <w:rFonts w:cs="Arial"/>
          <w:b/>
          <w:sz w:val="18"/>
          <w:szCs w:val="18"/>
        </w:rPr>
        <w:t>: N</w:t>
      </w:r>
      <w:r w:rsidRPr="0034459E">
        <w:rPr>
          <w:rFonts w:cs="Arial"/>
          <w:b/>
          <w:sz w:val="18"/>
          <w:szCs w:val="18"/>
          <w:vertAlign w:val="subscript"/>
        </w:rPr>
        <w:t>2</w:t>
      </w:r>
      <w:r w:rsidRPr="0034459E">
        <w:rPr>
          <w:rFonts w:cs="Arial"/>
          <w:b/>
          <w:sz w:val="18"/>
          <w:szCs w:val="18"/>
        </w:rPr>
        <w:t>O-Emissionen im Versuchszeitraum</w:t>
      </w:r>
    </w:p>
    <w:p w14:paraId="27BC1C56" w14:textId="77777777" w:rsidR="000E0979" w:rsidRPr="000E0979" w:rsidRDefault="000E0979" w:rsidP="000E0979">
      <w:pPr>
        <w:tabs>
          <w:tab w:val="left" w:pos="0"/>
        </w:tabs>
        <w:spacing w:before="0" w:after="0"/>
        <w:rPr>
          <w:rFonts w:cs="Arial"/>
          <w:sz w:val="24"/>
          <w:szCs w:val="24"/>
        </w:rPr>
      </w:pPr>
    </w:p>
    <w:p w14:paraId="4D2F8304" w14:textId="77777777" w:rsidR="001C04FE" w:rsidRPr="001C04FE" w:rsidRDefault="001C04FE" w:rsidP="001C04FE">
      <w:pPr>
        <w:tabs>
          <w:tab w:val="left" w:pos="0"/>
        </w:tabs>
        <w:spacing w:before="0" w:after="0"/>
        <w:rPr>
          <w:rFonts w:cs="Arial"/>
          <w:sz w:val="24"/>
          <w:szCs w:val="24"/>
        </w:rPr>
      </w:pPr>
      <w:r w:rsidRPr="001C04FE">
        <w:rPr>
          <w:rFonts w:cs="Arial"/>
          <w:sz w:val="24"/>
          <w:szCs w:val="24"/>
        </w:rPr>
        <w:t>N</w:t>
      </w:r>
      <w:r w:rsidRPr="001C04FE">
        <w:rPr>
          <w:rFonts w:cs="Arial"/>
          <w:sz w:val="24"/>
          <w:szCs w:val="24"/>
          <w:vertAlign w:val="subscript"/>
        </w:rPr>
        <w:t>2</w:t>
      </w:r>
      <w:r w:rsidRPr="001C04FE">
        <w:rPr>
          <w:rFonts w:cs="Arial"/>
          <w:sz w:val="24"/>
          <w:szCs w:val="24"/>
        </w:rPr>
        <w:t>O-Peaks waren bei allen Versuchsvarianten im Mai 2017 nach einem Niederschlagsereignis (19.05.2017: 28 mm/d) und nach der Ernte des Winterrapses in Verbindung mit der Bodenbearbeitung nachweisbar. Die Düngetermine zeigten mit Ausnahme der Injektionsvariante keinen unmittelbaren Einfluss auf die Höhe der N</w:t>
      </w:r>
      <w:r w:rsidRPr="001C04FE">
        <w:rPr>
          <w:rFonts w:cs="Arial"/>
          <w:sz w:val="24"/>
          <w:szCs w:val="24"/>
          <w:vertAlign w:val="subscript"/>
        </w:rPr>
        <w:t>2</w:t>
      </w:r>
      <w:r w:rsidRPr="001C04FE">
        <w:rPr>
          <w:rFonts w:cs="Arial"/>
          <w:sz w:val="24"/>
          <w:szCs w:val="24"/>
        </w:rPr>
        <w:t>O-Emissionen. Bei der INJEC-Variante war in den Versuchsjahren 2018 und 2019 jeweils nach dem ersten Düngetermin ein Anstieg der N</w:t>
      </w:r>
      <w:r w:rsidRPr="001C04FE">
        <w:rPr>
          <w:rFonts w:cs="Arial"/>
          <w:sz w:val="24"/>
          <w:szCs w:val="24"/>
          <w:vertAlign w:val="subscript"/>
        </w:rPr>
        <w:t>2</w:t>
      </w:r>
      <w:r w:rsidRPr="001C04FE">
        <w:rPr>
          <w:rFonts w:cs="Arial"/>
          <w:sz w:val="24"/>
          <w:szCs w:val="24"/>
        </w:rPr>
        <w:t xml:space="preserve">O-Emissionen feststellbar. </w:t>
      </w:r>
    </w:p>
    <w:p w14:paraId="32C2196E" w14:textId="77777777" w:rsidR="001C04FE" w:rsidRPr="001C04FE" w:rsidRDefault="001C04FE" w:rsidP="001C04FE">
      <w:pPr>
        <w:tabs>
          <w:tab w:val="left" w:pos="0"/>
        </w:tabs>
        <w:spacing w:before="0" w:after="0"/>
        <w:rPr>
          <w:rFonts w:cs="Arial"/>
          <w:sz w:val="24"/>
          <w:szCs w:val="24"/>
        </w:rPr>
      </w:pPr>
    </w:p>
    <w:p w14:paraId="5B5656CB" w14:textId="77777777" w:rsidR="001C04FE" w:rsidRDefault="001C04FE" w:rsidP="001C04FE">
      <w:pPr>
        <w:tabs>
          <w:tab w:val="left" w:pos="0"/>
        </w:tabs>
        <w:spacing w:before="0" w:after="0"/>
        <w:rPr>
          <w:rFonts w:cs="Arial"/>
          <w:sz w:val="24"/>
          <w:szCs w:val="24"/>
        </w:rPr>
      </w:pPr>
      <w:r w:rsidRPr="001C04FE">
        <w:rPr>
          <w:rFonts w:cs="Arial"/>
          <w:sz w:val="24"/>
          <w:szCs w:val="24"/>
        </w:rPr>
        <w:t>Die kumulierten jährlichen N</w:t>
      </w:r>
      <w:r w:rsidRPr="001C04FE">
        <w:rPr>
          <w:rFonts w:cs="Arial"/>
          <w:sz w:val="24"/>
          <w:szCs w:val="24"/>
          <w:vertAlign w:val="subscript"/>
        </w:rPr>
        <w:t>2</w:t>
      </w:r>
      <w:r w:rsidRPr="001C04FE">
        <w:rPr>
          <w:rFonts w:cs="Arial"/>
          <w:sz w:val="24"/>
          <w:szCs w:val="24"/>
        </w:rPr>
        <w:t>O-Emissionen waren mit maximal 0,59 kg N/ha auf einem geringen Niveau (Tab. 1). Signifikante Unterschiede zwischen den Versuchsjahren wurden bei der Kontrolle und oberflächigen Applikation ermittelt. Tendenziell waren bei allen Versuchsvarianten die höchsten N</w:t>
      </w:r>
      <w:r w:rsidRPr="001C04FE">
        <w:rPr>
          <w:rFonts w:cs="Arial"/>
          <w:sz w:val="24"/>
          <w:szCs w:val="24"/>
          <w:vertAlign w:val="subscript"/>
        </w:rPr>
        <w:t>2</w:t>
      </w:r>
      <w:r w:rsidRPr="001C04FE">
        <w:rPr>
          <w:rFonts w:cs="Arial"/>
          <w:sz w:val="24"/>
          <w:szCs w:val="24"/>
        </w:rPr>
        <w:t>O-Verluste im ersten Versuchsjahr nachweisbar. In den Versuchsjahren 2018 und 2019 zeigte die Injektion im Vergleich zu den anderen Varianten signifikant höhere Emissionen. Es ist zu vermuten, dass bei der Injektionsvariante aufgrund der hohen Nmin-Konzentrationen in Kombination mit der tieferen Ablage des Düngers die N</w:t>
      </w:r>
      <w:r w:rsidRPr="001C04FE">
        <w:rPr>
          <w:rFonts w:cs="Arial"/>
          <w:sz w:val="24"/>
          <w:szCs w:val="24"/>
          <w:vertAlign w:val="subscript"/>
        </w:rPr>
        <w:t>2</w:t>
      </w:r>
      <w:r w:rsidRPr="001C04FE">
        <w:rPr>
          <w:rFonts w:cs="Arial"/>
          <w:sz w:val="24"/>
          <w:szCs w:val="24"/>
        </w:rPr>
        <w:t>O-Bildung begünstigt wird. Ein ähnlicher Effekt wurde bei der Gülle-Depot-Düngung beobachtet (Zurheide et al., 2016). Die Emissionsfaktoren lagen mit maximal 0,2 % deutlich unter dem für landwirtschaftlich genutzte Böden angegebenem Default Emission Factor von 1 % (IPCC, 2007). Vergleichbar geringe N</w:t>
      </w:r>
      <w:r w:rsidRPr="001C04FE">
        <w:rPr>
          <w:rFonts w:cs="Arial"/>
          <w:sz w:val="24"/>
          <w:szCs w:val="24"/>
          <w:vertAlign w:val="subscript"/>
        </w:rPr>
        <w:t>2</w:t>
      </w:r>
      <w:r w:rsidRPr="001C04FE">
        <w:rPr>
          <w:rFonts w:cs="Arial"/>
          <w:sz w:val="24"/>
          <w:szCs w:val="24"/>
        </w:rPr>
        <w:t xml:space="preserve">O-Emissionen einer Schwarzerde nach </w:t>
      </w:r>
      <w:r w:rsidRPr="001C04FE">
        <w:rPr>
          <w:rFonts w:cs="Arial"/>
          <w:sz w:val="24"/>
          <w:szCs w:val="24"/>
          <w:vertAlign w:val="superscript"/>
        </w:rPr>
        <w:t>15</w:t>
      </w:r>
      <w:r w:rsidRPr="001C04FE">
        <w:rPr>
          <w:rFonts w:cs="Arial"/>
          <w:sz w:val="24"/>
          <w:szCs w:val="24"/>
        </w:rPr>
        <w:t>NH</w:t>
      </w:r>
      <w:r w:rsidRPr="001C04FE">
        <w:rPr>
          <w:rFonts w:cs="Arial"/>
          <w:sz w:val="24"/>
          <w:szCs w:val="24"/>
          <w:vertAlign w:val="subscript"/>
        </w:rPr>
        <w:t>4</w:t>
      </w:r>
      <w:r w:rsidRPr="001C04FE">
        <w:rPr>
          <w:rFonts w:cs="Arial"/>
          <w:sz w:val="24"/>
          <w:szCs w:val="24"/>
        </w:rPr>
        <w:t xml:space="preserve">-Applikation bei ähnlichen klimatischen </w:t>
      </w:r>
      <w:r w:rsidRPr="001C04FE">
        <w:rPr>
          <w:rFonts w:cs="Arial"/>
          <w:sz w:val="24"/>
          <w:szCs w:val="24"/>
        </w:rPr>
        <w:t>Bedingungen wurden von Russow et al. (2008) ermittelt und durch eine NH</w:t>
      </w:r>
      <w:r w:rsidRPr="001C04FE">
        <w:rPr>
          <w:rFonts w:cs="Arial"/>
          <w:sz w:val="24"/>
          <w:szCs w:val="24"/>
          <w:vertAlign w:val="subscript"/>
        </w:rPr>
        <w:t>4</w:t>
      </w:r>
      <w:r w:rsidRPr="001C04FE">
        <w:rPr>
          <w:rFonts w:cs="Arial"/>
          <w:sz w:val="24"/>
          <w:szCs w:val="24"/>
        </w:rPr>
        <w:t xml:space="preserve">-Fixierung aufgrund der hohen Sorptionskapazität der Böden und eine schnell ablaufende Nitrifikation begründet. </w:t>
      </w:r>
    </w:p>
    <w:p w14:paraId="310BF71F" w14:textId="77777777" w:rsidR="0034459E" w:rsidRPr="001C04FE" w:rsidRDefault="0034459E" w:rsidP="001C04FE">
      <w:pPr>
        <w:tabs>
          <w:tab w:val="left" w:pos="0"/>
        </w:tabs>
        <w:spacing w:before="0" w:after="0"/>
        <w:rPr>
          <w:rFonts w:cs="Arial"/>
          <w:sz w:val="24"/>
          <w:szCs w:val="24"/>
        </w:rPr>
      </w:pPr>
    </w:p>
    <w:p w14:paraId="0E8B5F9C" w14:textId="77777777" w:rsidR="0034459E" w:rsidRPr="0034459E" w:rsidRDefault="0034459E" w:rsidP="0034459E">
      <w:pPr>
        <w:jc w:val="left"/>
        <w:rPr>
          <w:b/>
          <w:sz w:val="18"/>
          <w:szCs w:val="18"/>
        </w:rPr>
      </w:pPr>
      <w:r w:rsidRPr="0034459E">
        <w:rPr>
          <w:b/>
          <w:sz w:val="18"/>
          <w:szCs w:val="18"/>
        </w:rPr>
        <w:t xml:space="preserve">Tabelle </w:t>
      </w:r>
      <w:r w:rsidRPr="0034459E">
        <w:rPr>
          <w:b/>
          <w:sz w:val="18"/>
          <w:szCs w:val="18"/>
        </w:rPr>
        <w:fldChar w:fldCharType="begin"/>
      </w:r>
      <w:r w:rsidRPr="0034459E">
        <w:rPr>
          <w:b/>
          <w:sz w:val="18"/>
          <w:szCs w:val="18"/>
        </w:rPr>
        <w:instrText xml:space="preserve"> SEQ Tabelle \* ARABIC </w:instrText>
      </w:r>
      <w:r w:rsidRPr="0034459E">
        <w:rPr>
          <w:b/>
          <w:sz w:val="18"/>
          <w:szCs w:val="18"/>
        </w:rPr>
        <w:fldChar w:fldCharType="separate"/>
      </w:r>
      <w:r w:rsidR="004E579E">
        <w:rPr>
          <w:b/>
          <w:noProof/>
          <w:sz w:val="18"/>
          <w:szCs w:val="18"/>
        </w:rPr>
        <w:t>1</w:t>
      </w:r>
      <w:r w:rsidRPr="0034459E">
        <w:rPr>
          <w:b/>
          <w:sz w:val="18"/>
          <w:szCs w:val="18"/>
        </w:rPr>
        <w:fldChar w:fldCharType="end"/>
      </w:r>
      <w:r w:rsidRPr="0034459E">
        <w:rPr>
          <w:b/>
          <w:sz w:val="18"/>
          <w:szCs w:val="18"/>
        </w:rPr>
        <w:t>: N</w:t>
      </w:r>
      <w:r w:rsidRPr="0034459E">
        <w:rPr>
          <w:b/>
          <w:sz w:val="18"/>
          <w:szCs w:val="18"/>
          <w:vertAlign w:val="subscript"/>
        </w:rPr>
        <w:t>2</w:t>
      </w:r>
      <w:r w:rsidRPr="0034459E">
        <w:rPr>
          <w:b/>
          <w:sz w:val="18"/>
          <w:szCs w:val="18"/>
        </w:rPr>
        <w:t>O-N-Verluste der Versuchsvarianten, Unterschiede zwischen den Varianten pro Versuchsjahr (Kleinbuchstaben) und zwischen den Versuchsjahren pro Variante (Großbuchstaben), ANOVA, Tukey, p&lt;0.05</w:t>
      </w:r>
    </w:p>
    <w:p w14:paraId="0462D6B9" w14:textId="2431AFA1" w:rsidR="0034459E" w:rsidRDefault="00441240" w:rsidP="0034459E">
      <w:r w:rsidRPr="00441240">
        <w:drawing>
          <wp:inline distT="0" distB="0" distL="0" distR="0" wp14:anchorId="54D4456D" wp14:editId="3B7E7C24">
            <wp:extent cx="2924810" cy="1462405"/>
            <wp:effectExtent l="0" t="0" r="8890"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810" cy="1462405"/>
                    </a:xfrm>
                    <a:prstGeom prst="rect">
                      <a:avLst/>
                    </a:prstGeom>
                    <a:noFill/>
                    <a:ln>
                      <a:noFill/>
                    </a:ln>
                  </pic:spPr>
                </pic:pic>
              </a:graphicData>
            </a:graphic>
          </wp:inline>
        </w:drawing>
      </w:r>
      <w:r w:rsidR="0034459E" w:rsidRPr="00F50CDF">
        <w:t xml:space="preserve">*von Aussaat bis Aussaat Folgefrucht, </w:t>
      </w:r>
      <w:r w:rsidR="0034459E" w:rsidRPr="00F50CDF">
        <w:rPr>
          <w:vertAlign w:val="superscript"/>
        </w:rPr>
        <w:t>1</w:t>
      </w:r>
      <w:r w:rsidR="0034459E" w:rsidRPr="00F50CDF">
        <w:t>bis 06/2019</w:t>
      </w:r>
      <w:r w:rsidR="0034459E">
        <w:t xml:space="preserve"> </w:t>
      </w:r>
    </w:p>
    <w:p w14:paraId="56371162" w14:textId="77777777" w:rsidR="00C165CD" w:rsidRDefault="00C165CD" w:rsidP="0034459E"/>
    <w:p w14:paraId="5115A29B" w14:textId="6029749D" w:rsidR="00C165CD" w:rsidRDefault="00C165CD" w:rsidP="00C165CD">
      <w:pPr>
        <w:tabs>
          <w:tab w:val="left" w:pos="0"/>
        </w:tabs>
        <w:spacing w:before="0" w:after="0"/>
        <w:rPr>
          <w:rFonts w:cs="Arial"/>
          <w:sz w:val="24"/>
          <w:szCs w:val="24"/>
        </w:rPr>
      </w:pPr>
      <w:r w:rsidRPr="00C165CD">
        <w:rPr>
          <w:rFonts w:cs="Arial"/>
          <w:sz w:val="24"/>
          <w:szCs w:val="24"/>
        </w:rPr>
        <w:t>Auf der Grundlage einer durchgeführten multiplen Regressionsanalyse kann abgeleitet werden, dass die Nmin- bzw. NO</w:t>
      </w:r>
      <w:r w:rsidRPr="00C165CD">
        <w:rPr>
          <w:rFonts w:cs="Arial"/>
          <w:sz w:val="24"/>
          <w:szCs w:val="24"/>
          <w:vertAlign w:val="subscript"/>
        </w:rPr>
        <w:t>3</w:t>
      </w:r>
      <w:r w:rsidRPr="00C165CD">
        <w:rPr>
          <w:rFonts w:cs="Arial"/>
          <w:sz w:val="24"/>
          <w:szCs w:val="24"/>
          <w:vertAlign w:val="superscript"/>
        </w:rPr>
        <w:t>-</w:t>
      </w:r>
      <w:r w:rsidRPr="00C165CD">
        <w:rPr>
          <w:rFonts w:cs="Arial"/>
          <w:sz w:val="24"/>
          <w:szCs w:val="24"/>
        </w:rPr>
        <w:t>-Gehalte im Oberboden, das WFPS und die Bodentemperatur in 1 cm Tiefe einen signifikanten Einfluss auf die N</w:t>
      </w:r>
      <w:r w:rsidRPr="00C165CD">
        <w:rPr>
          <w:rFonts w:cs="Arial"/>
          <w:sz w:val="24"/>
          <w:szCs w:val="24"/>
          <w:vertAlign w:val="subscript"/>
        </w:rPr>
        <w:t>2</w:t>
      </w:r>
      <w:r w:rsidRPr="00C165CD">
        <w:rPr>
          <w:rFonts w:cs="Arial"/>
          <w:sz w:val="24"/>
          <w:szCs w:val="24"/>
        </w:rPr>
        <w:t xml:space="preserve">O-Emissionen zeigten (Tab. 2). Dabei wurde bei der Injektionsvariante die beste Qualität des Regressions-Modells erreicht. </w:t>
      </w:r>
    </w:p>
    <w:p w14:paraId="4EACD509" w14:textId="77777777" w:rsidR="0052083D" w:rsidRDefault="0052083D" w:rsidP="00C165CD">
      <w:pPr>
        <w:tabs>
          <w:tab w:val="left" w:pos="0"/>
        </w:tabs>
        <w:spacing w:before="0" w:after="0"/>
        <w:rPr>
          <w:rFonts w:cs="Arial"/>
          <w:sz w:val="24"/>
          <w:szCs w:val="24"/>
        </w:rPr>
      </w:pPr>
    </w:p>
    <w:p w14:paraId="5E87A122" w14:textId="541F8296" w:rsidR="0052083D" w:rsidRDefault="00F952B2" w:rsidP="00F952B2">
      <w:pPr>
        <w:ind w:left="851" w:hanging="851"/>
        <w:jc w:val="left"/>
        <w:rPr>
          <w:rFonts w:cs="Arial"/>
          <w:sz w:val="24"/>
          <w:szCs w:val="24"/>
        </w:rPr>
      </w:pPr>
      <w:r w:rsidRPr="00F952B2">
        <w:rPr>
          <w:b/>
          <w:sz w:val="18"/>
          <w:szCs w:val="18"/>
        </w:rPr>
        <w:t xml:space="preserve">Tabelle </w:t>
      </w:r>
      <w:r w:rsidRPr="00F952B2">
        <w:rPr>
          <w:b/>
          <w:sz w:val="18"/>
          <w:szCs w:val="18"/>
        </w:rPr>
        <w:fldChar w:fldCharType="begin"/>
      </w:r>
      <w:r w:rsidRPr="00F952B2">
        <w:rPr>
          <w:b/>
          <w:sz w:val="18"/>
          <w:szCs w:val="18"/>
        </w:rPr>
        <w:instrText xml:space="preserve"> SEQ Tabelle \* ARABIC </w:instrText>
      </w:r>
      <w:r w:rsidRPr="00F952B2">
        <w:rPr>
          <w:b/>
          <w:sz w:val="18"/>
          <w:szCs w:val="18"/>
        </w:rPr>
        <w:fldChar w:fldCharType="separate"/>
      </w:r>
      <w:r w:rsidR="004E579E">
        <w:rPr>
          <w:b/>
          <w:noProof/>
          <w:sz w:val="18"/>
          <w:szCs w:val="18"/>
        </w:rPr>
        <w:t>2</w:t>
      </w:r>
      <w:r w:rsidRPr="00F952B2">
        <w:rPr>
          <w:b/>
          <w:sz w:val="18"/>
          <w:szCs w:val="18"/>
        </w:rPr>
        <w:fldChar w:fldCharType="end"/>
      </w:r>
      <w:r w:rsidRPr="00F952B2">
        <w:rPr>
          <w:b/>
          <w:sz w:val="18"/>
          <w:szCs w:val="18"/>
        </w:rPr>
        <w:t>: Ergebnisse multiple Regressionsanalyse</w:t>
      </w:r>
    </w:p>
    <w:p w14:paraId="02748C2F" w14:textId="3E6DABAF" w:rsidR="00F952B2" w:rsidRDefault="00441240" w:rsidP="00F952B2">
      <w:pPr>
        <w:tabs>
          <w:tab w:val="left" w:pos="0"/>
        </w:tabs>
        <w:spacing w:before="0" w:after="0"/>
      </w:pPr>
      <w:r w:rsidRPr="00441240">
        <w:drawing>
          <wp:inline distT="0" distB="0" distL="0" distR="0" wp14:anchorId="4B109ADF" wp14:editId="50B746E5">
            <wp:extent cx="2924810" cy="1441691"/>
            <wp:effectExtent l="0" t="0" r="8890" b="635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1441691"/>
                    </a:xfrm>
                    <a:prstGeom prst="rect">
                      <a:avLst/>
                    </a:prstGeom>
                    <a:noFill/>
                    <a:ln>
                      <a:noFill/>
                    </a:ln>
                  </pic:spPr>
                </pic:pic>
              </a:graphicData>
            </a:graphic>
          </wp:inline>
        </w:drawing>
      </w:r>
      <w:r w:rsidR="00F952B2" w:rsidRPr="00F51B29">
        <w:t>WFPS: water filled pore space, T</w:t>
      </w:r>
      <w:r w:rsidR="00F952B2" w:rsidRPr="00F51B29">
        <w:rPr>
          <w:vertAlign w:val="subscript"/>
        </w:rPr>
        <w:t>1cm</w:t>
      </w:r>
      <w:r w:rsidR="00F952B2" w:rsidRPr="00F51B29">
        <w:t>: Bodentemperatur in 1cm Tiefe</w:t>
      </w:r>
    </w:p>
    <w:p w14:paraId="727C6D29" w14:textId="77777777" w:rsidR="001E302E" w:rsidRDefault="001E302E" w:rsidP="00F952B2">
      <w:pPr>
        <w:tabs>
          <w:tab w:val="left" w:pos="0"/>
        </w:tabs>
        <w:spacing w:before="0" w:after="0"/>
      </w:pPr>
    </w:p>
    <w:p w14:paraId="4F965B84" w14:textId="5A199CDF" w:rsidR="001E302E" w:rsidRPr="001E302E" w:rsidRDefault="001E302E" w:rsidP="001E302E">
      <w:pPr>
        <w:tabs>
          <w:tab w:val="left" w:pos="0"/>
        </w:tabs>
        <w:spacing w:before="60" w:after="120"/>
        <w:rPr>
          <w:rFonts w:cs="Arial"/>
          <w:b/>
          <w:sz w:val="24"/>
          <w:szCs w:val="24"/>
        </w:rPr>
      </w:pPr>
      <w:r w:rsidRPr="001E302E">
        <w:rPr>
          <w:rFonts w:cs="Arial"/>
          <w:b/>
          <w:sz w:val="24"/>
          <w:szCs w:val="24"/>
        </w:rPr>
        <w:t>3.3</w:t>
      </w:r>
      <w:r w:rsidRPr="001E302E">
        <w:rPr>
          <w:rFonts w:cs="Arial"/>
          <w:b/>
          <w:sz w:val="24"/>
          <w:szCs w:val="24"/>
        </w:rPr>
        <w:tab/>
        <w:t>Ergebnisse der Laborversuche</w:t>
      </w:r>
    </w:p>
    <w:p w14:paraId="29B6787C" w14:textId="09EE95EB" w:rsidR="00381E57" w:rsidRDefault="001E302E" w:rsidP="001E302E">
      <w:pPr>
        <w:tabs>
          <w:tab w:val="left" w:pos="0"/>
        </w:tabs>
        <w:spacing w:before="60" w:after="120"/>
        <w:rPr>
          <w:rFonts w:cs="Arial"/>
          <w:sz w:val="24"/>
          <w:szCs w:val="24"/>
        </w:rPr>
      </w:pPr>
      <w:r w:rsidRPr="001E302E">
        <w:rPr>
          <w:rFonts w:cs="Arial"/>
          <w:sz w:val="24"/>
          <w:szCs w:val="24"/>
        </w:rPr>
        <w:t>Die Analysen der Stabilisotopenverhältnisse im NO</w:t>
      </w:r>
      <w:r w:rsidRPr="001E302E">
        <w:rPr>
          <w:rFonts w:cs="Arial"/>
          <w:sz w:val="24"/>
          <w:szCs w:val="24"/>
          <w:vertAlign w:val="subscript"/>
        </w:rPr>
        <w:t>3</w:t>
      </w:r>
      <w:r w:rsidRPr="001E302E">
        <w:rPr>
          <w:rFonts w:cs="Arial"/>
          <w:sz w:val="24"/>
          <w:szCs w:val="24"/>
          <w:vertAlign w:val="superscript"/>
        </w:rPr>
        <w:t>-</w:t>
      </w:r>
      <w:r w:rsidRPr="001E302E">
        <w:rPr>
          <w:rFonts w:cs="Arial"/>
          <w:sz w:val="24"/>
          <w:szCs w:val="24"/>
        </w:rPr>
        <w:t xml:space="preserve"> des Porenwassers (Bodenprobe) ergaben Werte von +2,9 ‰ für δ</w:t>
      </w:r>
      <w:r w:rsidRPr="001E302E">
        <w:rPr>
          <w:rFonts w:cs="Arial"/>
          <w:sz w:val="24"/>
          <w:szCs w:val="24"/>
          <w:vertAlign w:val="superscript"/>
        </w:rPr>
        <w:t xml:space="preserve"> 15</w:t>
      </w:r>
      <w:r w:rsidRPr="001E302E">
        <w:rPr>
          <w:rFonts w:cs="Arial"/>
          <w:sz w:val="24"/>
          <w:szCs w:val="24"/>
        </w:rPr>
        <w:t>N und + 4,5 ‰</w:t>
      </w:r>
      <w:r w:rsidR="008F1EDF">
        <w:rPr>
          <w:rFonts w:cs="Arial"/>
          <w:sz w:val="24"/>
          <w:szCs w:val="24"/>
        </w:rPr>
        <w:t xml:space="preserve"> </w:t>
      </w:r>
      <w:r w:rsidR="008F1EDF" w:rsidRPr="008F1EDF">
        <w:rPr>
          <w:rFonts w:cs="Arial"/>
          <w:sz w:val="24"/>
          <w:szCs w:val="24"/>
        </w:rPr>
        <w:t>für δ</w:t>
      </w:r>
      <w:r w:rsidR="008F1EDF" w:rsidRPr="008F1EDF">
        <w:rPr>
          <w:rFonts w:cs="Arial"/>
          <w:sz w:val="24"/>
          <w:szCs w:val="24"/>
          <w:vertAlign w:val="superscript"/>
        </w:rPr>
        <w:t xml:space="preserve"> 18</w:t>
      </w:r>
      <w:r w:rsidR="008F1EDF" w:rsidRPr="008F1EDF">
        <w:rPr>
          <w:rFonts w:cs="Arial"/>
          <w:sz w:val="24"/>
          <w:szCs w:val="24"/>
        </w:rPr>
        <w:t>O (Tab. 3)</w:t>
      </w:r>
      <w:r w:rsidR="008F1EDF">
        <w:rPr>
          <w:rFonts w:cs="Arial"/>
          <w:sz w:val="24"/>
          <w:szCs w:val="24"/>
        </w:rPr>
        <w:t>.</w:t>
      </w:r>
    </w:p>
    <w:p w14:paraId="6F05457F" w14:textId="77777777" w:rsidR="0025646A" w:rsidRDefault="0025646A" w:rsidP="001E302E">
      <w:pPr>
        <w:tabs>
          <w:tab w:val="left" w:pos="0"/>
        </w:tabs>
        <w:spacing w:before="60" w:after="120"/>
        <w:rPr>
          <w:rFonts w:cs="Arial"/>
          <w:sz w:val="24"/>
          <w:szCs w:val="24"/>
        </w:rPr>
      </w:pPr>
    </w:p>
    <w:p w14:paraId="6EBF3203" w14:textId="77777777" w:rsidR="0025646A" w:rsidRPr="0025646A" w:rsidRDefault="0025646A" w:rsidP="0025646A">
      <w:pPr>
        <w:jc w:val="left"/>
        <w:rPr>
          <w:b/>
          <w:sz w:val="18"/>
          <w:szCs w:val="18"/>
        </w:rPr>
      </w:pPr>
      <w:r w:rsidRPr="0025646A">
        <w:rPr>
          <w:b/>
          <w:sz w:val="18"/>
          <w:szCs w:val="18"/>
        </w:rPr>
        <w:lastRenderedPageBreak/>
        <w:t xml:space="preserve">Tabelle </w:t>
      </w:r>
      <w:r w:rsidRPr="0025646A">
        <w:rPr>
          <w:b/>
          <w:sz w:val="18"/>
          <w:szCs w:val="18"/>
        </w:rPr>
        <w:fldChar w:fldCharType="begin"/>
      </w:r>
      <w:r w:rsidRPr="0025646A">
        <w:rPr>
          <w:b/>
          <w:sz w:val="18"/>
          <w:szCs w:val="18"/>
        </w:rPr>
        <w:instrText xml:space="preserve"> SEQ Tabelle \* ARABIC </w:instrText>
      </w:r>
      <w:r w:rsidRPr="0025646A">
        <w:rPr>
          <w:b/>
          <w:sz w:val="18"/>
          <w:szCs w:val="18"/>
        </w:rPr>
        <w:fldChar w:fldCharType="separate"/>
      </w:r>
      <w:r w:rsidR="004E579E">
        <w:rPr>
          <w:b/>
          <w:noProof/>
          <w:sz w:val="18"/>
          <w:szCs w:val="18"/>
        </w:rPr>
        <w:t>3</w:t>
      </w:r>
      <w:r w:rsidRPr="0025646A">
        <w:rPr>
          <w:b/>
          <w:sz w:val="18"/>
          <w:szCs w:val="18"/>
        </w:rPr>
        <w:fldChar w:fldCharType="end"/>
      </w:r>
      <w:r w:rsidRPr="0025646A">
        <w:rPr>
          <w:b/>
          <w:sz w:val="18"/>
          <w:szCs w:val="18"/>
        </w:rPr>
        <w:t>: Ergebnisse der Eingangsanalyse von Boden und Dünger</w:t>
      </w:r>
    </w:p>
    <w:p w14:paraId="5F7AC944" w14:textId="4FA9C204" w:rsidR="00E654D3" w:rsidRPr="007E1CE2" w:rsidRDefault="0025646A" w:rsidP="00B34F3A">
      <w:pPr>
        <w:tabs>
          <w:tab w:val="left" w:pos="0"/>
        </w:tabs>
        <w:spacing w:before="0" w:after="0"/>
        <w:rPr>
          <w:rFonts w:cs="Arial"/>
          <w:sz w:val="24"/>
          <w:szCs w:val="24"/>
        </w:rPr>
      </w:pPr>
      <w:r w:rsidRPr="0025646A">
        <w:drawing>
          <wp:inline distT="0" distB="0" distL="0" distR="0" wp14:anchorId="5F16AE7D" wp14:editId="76744D8C">
            <wp:extent cx="2924810" cy="196585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810" cy="1965856"/>
                    </a:xfrm>
                    <a:prstGeom prst="rect">
                      <a:avLst/>
                    </a:prstGeom>
                    <a:noFill/>
                    <a:ln>
                      <a:noFill/>
                    </a:ln>
                  </pic:spPr>
                </pic:pic>
              </a:graphicData>
            </a:graphic>
          </wp:inline>
        </w:drawing>
      </w:r>
    </w:p>
    <w:p w14:paraId="0D3E941A" w14:textId="77777777" w:rsidR="0025646A" w:rsidRDefault="0025646A" w:rsidP="00904751">
      <w:pPr>
        <w:tabs>
          <w:tab w:val="left" w:pos="0"/>
        </w:tabs>
        <w:spacing w:before="60" w:after="0"/>
        <w:rPr>
          <w:rFonts w:cs="Arial"/>
          <w:b/>
          <w:sz w:val="24"/>
          <w:szCs w:val="24"/>
        </w:rPr>
      </w:pPr>
    </w:p>
    <w:p w14:paraId="44F3FF8F" w14:textId="77777777" w:rsidR="00F2583B" w:rsidRPr="00F2583B" w:rsidRDefault="00F2583B" w:rsidP="00F2583B">
      <w:pPr>
        <w:tabs>
          <w:tab w:val="left" w:pos="0"/>
        </w:tabs>
        <w:spacing w:before="60" w:after="0"/>
        <w:rPr>
          <w:rFonts w:cs="Arial"/>
          <w:sz w:val="24"/>
          <w:szCs w:val="24"/>
        </w:rPr>
      </w:pPr>
      <w:r w:rsidRPr="00F2583B">
        <w:rPr>
          <w:rFonts w:cs="Arial"/>
          <w:sz w:val="24"/>
          <w:szCs w:val="24"/>
        </w:rPr>
        <w:t>Diese Werte liegen genau in einem Überlappungsbereich der beiden Quellen: Düngung und organischer N-Pool (Zhang et al., 2019). Somit kann nicht eindeutig die Herkunft des nach der Ernte im Boden befindlichen NO</w:t>
      </w:r>
      <w:r w:rsidRPr="00F2583B">
        <w:rPr>
          <w:rFonts w:cs="Arial"/>
          <w:sz w:val="24"/>
          <w:szCs w:val="24"/>
          <w:vertAlign w:val="subscript"/>
        </w:rPr>
        <w:t>3</w:t>
      </w:r>
      <w:r w:rsidRPr="00F2583B">
        <w:rPr>
          <w:rFonts w:cs="Arial"/>
          <w:sz w:val="24"/>
          <w:szCs w:val="24"/>
          <w:vertAlign w:val="superscript"/>
        </w:rPr>
        <w:t>-</w:t>
      </w:r>
      <w:r w:rsidRPr="00F2583B">
        <w:rPr>
          <w:rFonts w:cs="Arial"/>
          <w:sz w:val="24"/>
          <w:szCs w:val="24"/>
        </w:rPr>
        <w:t xml:space="preserve"> bestimmt werden. Die δ</w:t>
      </w:r>
      <w:r w:rsidRPr="00F2583B">
        <w:rPr>
          <w:rFonts w:cs="Arial"/>
          <w:sz w:val="24"/>
          <w:szCs w:val="24"/>
          <w:vertAlign w:val="superscript"/>
        </w:rPr>
        <w:t xml:space="preserve"> 15</w:t>
      </w:r>
      <w:r w:rsidRPr="00F2583B">
        <w:rPr>
          <w:rFonts w:cs="Arial"/>
          <w:sz w:val="24"/>
          <w:szCs w:val="24"/>
        </w:rPr>
        <w:t>N-Werte des Gesamt-N in den Feststoffproben von Dünger und Boden unterschieden sich deutlich. Hieraus kann abgeleitet werden, dass der Dünger-N vollständig umgesetzt wurde. Die begleitenden Analysen zeigten, dass etwa 92 % des Gesamt-N im organischen Pool gebunden vorliegt. Eine in der Literatur diskutierte hohe Fixierung von Dünger-NH</w:t>
      </w:r>
      <w:r w:rsidRPr="00F2583B">
        <w:rPr>
          <w:rFonts w:cs="Arial"/>
          <w:sz w:val="24"/>
          <w:szCs w:val="24"/>
          <w:vertAlign w:val="subscript"/>
        </w:rPr>
        <w:t>4</w:t>
      </w:r>
      <w:r w:rsidRPr="00F2583B">
        <w:rPr>
          <w:rFonts w:cs="Arial"/>
          <w:sz w:val="24"/>
          <w:szCs w:val="24"/>
        </w:rPr>
        <w:t xml:space="preserve"> in den Kationenaustauschern im Boden (Russow et al., 2008) kann somit anhand vorliegender Untersuchungen nicht bestätigt werden. Der Anteil des austauschbar gebundenen NH</w:t>
      </w:r>
      <w:r w:rsidRPr="00F2583B">
        <w:rPr>
          <w:rFonts w:cs="Arial"/>
          <w:sz w:val="24"/>
          <w:szCs w:val="24"/>
          <w:vertAlign w:val="subscript"/>
        </w:rPr>
        <w:t>4</w:t>
      </w:r>
      <w:r w:rsidRPr="00F2583B">
        <w:rPr>
          <w:rFonts w:cs="Arial"/>
          <w:sz w:val="24"/>
          <w:szCs w:val="24"/>
          <w:vertAlign w:val="superscript"/>
        </w:rPr>
        <w:t>+</w:t>
      </w:r>
      <w:r w:rsidRPr="00F2583B">
        <w:rPr>
          <w:rFonts w:cs="Arial"/>
          <w:sz w:val="24"/>
          <w:szCs w:val="24"/>
        </w:rPr>
        <w:t xml:space="preserve"> am Gesamt-N war mit 0,7 % sehr gering. Die ermittelten täglichen Mineralisationsraten von 0,10 (5 °C) und 0,13 (10 °C) mg NO</w:t>
      </w:r>
      <w:r w:rsidRPr="00F2583B">
        <w:rPr>
          <w:rFonts w:cs="Arial"/>
          <w:sz w:val="24"/>
          <w:szCs w:val="24"/>
          <w:vertAlign w:val="subscript"/>
        </w:rPr>
        <w:t>3</w:t>
      </w:r>
      <w:r w:rsidRPr="00F2583B">
        <w:rPr>
          <w:rFonts w:cs="Arial"/>
          <w:sz w:val="24"/>
          <w:szCs w:val="24"/>
        </w:rPr>
        <w:t>-N/kg TM sind als hoch einzuschätzen und würden einer Nachlieferung von etwa 67 kg N/ha in der Nacherntezeit bis zum Vegetationsende entsprechen. Vergleichbar hohe Netto-Mineralisationsraten für Schwarzerden von jährlich 75 bis 160 kg N/ha werden in der Literatur angegeben (Amberger, 1996). Die im Labor unter anaeroben Bedingungen nachgewiesenen NO</w:t>
      </w:r>
      <w:r w:rsidRPr="00F2583B">
        <w:rPr>
          <w:rFonts w:cs="Arial"/>
          <w:sz w:val="24"/>
          <w:szCs w:val="24"/>
          <w:vertAlign w:val="subscript"/>
        </w:rPr>
        <w:t>3</w:t>
      </w:r>
      <w:r w:rsidRPr="00F2583B">
        <w:rPr>
          <w:rFonts w:cs="Arial"/>
          <w:sz w:val="24"/>
          <w:szCs w:val="24"/>
          <w:vertAlign w:val="superscript"/>
        </w:rPr>
        <w:t>-</w:t>
      </w:r>
      <w:r w:rsidRPr="00F2583B">
        <w:rPr>
          <w:rFonts w:cs="Arial"/>
          <w:sz w:val="24"/>
          <w:szCs w:val="24"/>
        </w:rPr>
        <w:t>-Abbauraten von 0,21 mg NO</w:t>
      </w:r>
      <w:r w:rsidRPr="00F2583B">
        <w:rPr>
          <w:rFonts w:cs="Arial"/>
          <w:sz w:val="24"/>
          <w:szCs w:val="24"/>
          <w:vertAlign w:val="subscript"/>
        </w:rPr>
        <w:t>3</w:t>
      </w:r>
      <w:r w:rsidRPr="00F2583B">
        <w:rPr>
          <w:rFonts w:cs="Arial"/>
          <w:sz w:val="24"/>
          <w:szCs w:val="24"/>
        </w:rPr>
        <w:t>-N/kg TM (10 C°) zeigen, dass der untersuchte Boden ein hohes Abbaupotential besitzt, wenn die entsprechenden Voraussetzungen (d.  h. eine hohe Bodenfeuchte) gegeben sind.</w:t>
      </w:r>
    </w:p>
    <w:p w14:paraId="5F9FDDD3" w14:textId="77777777" w:rsidR="00F2583B" w:rsidRPr="00F2583B" w:rsidRDefault="00F2583B" w:rsidP="00F2583B">
      <w:pPr>
        <w:tabs>
          <w:tab w:val="left" w:pos="0"/>
        </w:tabs>
        <w:spacing w:before="60" w:after="0"/>
        <w:rPr>
          <w:rFonts w:cs="Arial"/>
          <w:sz w:val="24"/>
          <w:szCs w:val="24"/>
        </w:rPr>
      </w:pPr>
    </w:p>
    <w:p w14:paraId="179E96F0" w14:textId="159E0880" w:rsidR="00B34F3A" w:rsidRPr="00E32DAF" w:rsidRDefault="00B34F3A" w:rsidP="00904751">
      <w:pPr>
        <w:tabs>
          <w:tab w:val="left" w:pos="0"/>
        </w:tabs>
        <w:spacing w:before="60" w:after="0"/>
        <w:rPr>
          <w:rFonts w:cs="Arial"/>
          <w:b/>
          <w:sz w:val="24"/>
          <w:szCs w:val="24"/>
        </w:rPr>
      </w:pPr>
      <w:r w:rsidRPr="00E32DAF">
        <w:rPr>
          <w:rFonts w:cs="Arial"/>
          <w:b/>
          <w:sz w:val="24"/>
          <w:szCs w:val="24"/>
        </w:rPr>
        <w:t>Schlussfolgerungen</w:t>
      </w:r>
    </w:p>
    <w:p w14:paraId="7F5CF476" w14:textId="56235974" w:rsidR="00397112" w:rsidRDefault="00FD6DD6" w:rsidP="00904751">
      <w:pPr>
        <w:tabs>
          <w:tab w:val="left" w:pos="0"/>
        </w:tabs>
        <w:spacing w:before="60" w:after="0"/>
        <w:rPr>
          <w:rFonts w:cs="Arial"/>
          <w:sz w:val="24"/>
          <w:szCs w:val="24"/>
        </w:rPr>
      </w:pPr>
      <w:r>
        <w:rPr>
          <w:rFonts w:cs="Arial"/>
          <w:sz w:val="24"/>
          <w:szCs w:val="24"/>
        </w:rPr>
        <w:t>In v</w:t>
      </w:r>
      <w:r w:rsidR="008E47DA">
        <w:rPr>
          <w:rFonts w:cs="Arial"/>
          <w:sz w:val="24"/>
          <w:szCs w:val="24"/>
        </w:rPr>
        <w:t>orliegende</w:t>
      </w:r>
      <w:r>
        <w:rPr>
          <w:rFonts w:cs="Arial"/>
          <w:sz w:val="24"/>
          <w:szCs w:val="24"/>
        </w:rPr>
        <w:t>n</w:t>
      </w:r>
      <w:r w:rsidR="008E47DA">
        <w:rPr>
          <w:rFonts w:cs="Arial"/>
          <w:sz w:val="24"/>
          <w:szCs w:val="24"/>
        </w:rPr>
        <w:t xml:space="preserve"> Untersuchungen </w:t>
      </w:r>
      <w:r>
        <w:rPr>
          <w:rFonts w:cs="Arial"/>
          <w:sz w:val="24"/>
          <w:szCs w:val="24"/>
        </w:rPr>
        <w:t>waren</w:t>
      </w:r>
      <w:r w:rsidR="008E47DA">
        <w:rPr>
          <w:rFonts w:cs="Arial"/>
          <w:sz w:val="24"/>
          <w:szCs w:val="24"/>
        </w:rPr>
        <w:t xml:space="preserve"> insgesamt </w:t>
      </w:r>
      <w:r>
        <w:rPr>
          <w:rFonts w:cs="Arial"/>
          <w:sz w:val="24"/>
          <w:szCs w:val="24"/>
        </w:rPr>
        <w:t xml:space="preserve">sehr </w:t>
      </w:r>
      <w:r w:rsidR="008E47DA">
        <w:rPr>
          <w:rFonts w:cs="Arial"/>
          <w:sz w:val="24"/>
          <w:szCs w:val="24"/>
        </w:rPr>
        <w:t>geringe N</w:t>
      </w:r>
      <w:r w:rsidR="008E47DA" w:rsidRPr="00765FC4">
        <w:rPr>
          <w:rFonts w:cs="Arial"/>
          <w:sz w:val="24"/>
          <w:szCs w:val="24"/>
          <w:vertAlign w:val="subscript"/>
        </w:rPr>
        <w:t>2</w:t>
      </w:r>
      <w:r w:rsidR="008E47DA">
        <w:rPr>
          <w:rFonts w:cs="Arial"/>
          <w:sz w:val="24"/>
          <w:szCs w:val="24"/>
        </w:rPr>
        <w:t>O-Verluste bei allen Versuchsvarianten</w:t>
      </w:r>
      <w:r>
        <w:rPr>
          <w:rFonts w:cs="Arial"/>
          <w:sz w:val="24"/>
          <w:szCs w:val="24"/>
        </w:rPr>
        <w:t xml:space="preserve"> nachweisbar.</w:t>
      </w:r>
      <w:r w:rsidR="008E47DA">
        <w:rPr>
          <w:rFonts w:cs="Arial"/>
          <w:sz w:val="24"/>
          <w:szCs w:val="24"/>
        </w:rPr>
        <w:t xml:space="preserve"> </w:t>
      </w:r>
      <w:r>
        <w:rPr>
          <w:rFonts w:cs="Arial"/>
          <w:sz w:val="24"/>
          <w:szCs w:val="24"/>
        </w:rPr>
        <w:t>Dabei w</w:t>
      </w:r>
      <w:r w:rsidR="00765FC4">
        <w:rPr>
          <w:rFonts w:cs="Arial"/>
          <w:sz w:val="24"/>
          <w:szCs w:val="24"/>
        </w:rPr>
        <w:t>urden als</w:t>
      </w:r>
      <w:r>
        <w:rPr>
          <w:rFonts w:cs="Arial"/>
          <w:sz w:val="24"/>
          <w:szCs w:val="24"/>
        </w:rPr>
        <w:t xml:space="preserve"> </w:t>
      </w:r>
      <w:r w:rsidR="008E47DA">
        <w:rPr>
          <w:rFonts w:cs="Arial"/>
          <w:sz w:val="24"/>
          <w:szCs w:val="24"/>
        </w:rPr>
        <w:t>Haupteinflussfaktoren auf die N</w:t>
      </w:r>
      <w:r w:rsidR="008E47DA" w:rsidRPr="00765FC4">
        <w:rPr>
          <w:rFonts w:cs="Arial"/>
          <w:sz w:val="24"/>
          <w:szCs w:val="24"/>
          <w:vertAlign w:val="subscript"/>
        </w:rPr>
        <w:t>2</w:t>
      </w:r>
      <w:r w:rsidR="008E47DA">
        <w:rPr>
          <w:rFonts w:cs="Arial"/>
          <w:sz w:val="24"/>
          <w:szCs w:val="24"/>
        </w:rPr>
        <w:t xml:space="preserve">O-Emissionen die Nmin-Gehalte im Boden, das wassergesättigte Porenvolumen und die Bodentemperatur </w:t>
      </w:r>
      <w:r w:rsidR="00765FC4">
        <w:rPr>
          <w:rFonts w:cs="Arial"/>
          <w:sz w:val="24"/>
          <w:szCs w:val="24"/>
        </w:rPr>
        <w:t xml:space="preserve">in </w:t>
      </w:r>
      <w:r w:rsidR="008E47DA">
        <w:rPr>
          <w:rFonts w:cs="Arial"/>
          <w:sz w:val="24"/>
          <w:szCs w:val="24"/>
        </w:rPr>
        <w:t>1 cm Tiefe</w:t>
      </w:r>
      <w:r w:rsidR="00765FC4">
        <w:rPr>
          <w:rFonts w:cs="Arial"/>
          <w:sz w:val="24"/>
          <w:szCs w:val="24"/>
        </w:rPr>
        <w:t xml:space="preserve"> identifiziert</w:t>
      </w:r>
      <w:r>
        <w:rPr>
          <w:rFonts w:cs="Arial"/>
          <w:sz w:val="24"/>
          <w:szCs w:val="24"/>
        </w:rPr>
        <w:t>. Die Feldmessungen als auch die begleitenden Laborversuche zeigten, dass der untersuchte Boden ein hohes N-Nachlieferungspotential besitzt</w:t>
      </w:r>
      <w:r w:rsidR="00397112">
        <w:rPr>
          <w:rFonts w:cs="Arial"/>
          <w:sz w:val="24"/>
          <w:szCs w:val="24"/>
        </w:rPr>
        <w:t xml:space="preserve"> und Mineralisationsprozesse in Verbindung mit der Bodenbearbeitung zu höheren N</w:t>
      </w:r>
      <w:r w:rsidR="00397112" w:rsidRPr="00765FC4">
        <w:rPr>
          <w:rFonts w:cs="Arial"/>
          <w:sz w:val="24"/>
          <w:szCs w:val="24"/>
          <w:vertAlign w:val="subscript"/>
        </w:rPr>
        <w:t>2</w:t>
      </w:r>
      <w:r w:rsidR="00397112">
        <w:rPr>
          <w:rFonts w:cs="Arial"/>
          <w:sz w:val="24"/>
          <w:szCs w:val="24"/>
        </w:rPr>
        <w:t xml:space="preserve">O-Emissionen führen können. </w:t>
      </w:r>
      <w:r w:rsidR="00397112" w:rsidRPr="00397112">
        <w:rPr>
          <w:rFonts w:cs="Arial"/>
          <w:sz w:val="24"/>
          <w:szCs w:val="24"/>
        </w:rPr>
        <w:t>Fortsetzende Untersuchungen zum Einfluss der N-Nachlieferung aus dem organischen N-Pool auf die N</w:t>
      </w:r>
      <w:r w:rsidR="00397112" w:rsidRPr="00397112">
        <w:rPr>
          <w:rFonts w:cs="Arial"/>
          <w:sz w:val="24"/>
          <w:szCs w:val="24"/>
          <w:vertAlign w:val="subscript"/>
        </w:rPr>
        <w:t>2</w:t>
      </w:r>
      <w:r w:rsidR="00397112" w:rsidRPr="00397112">
        <w:rPr>
          <w:rFonts w:cs="Arial"/>
          <w:sz w:val="24"/>
          <w:szCs w:val="24"/>
        </w:rPr>
        <w:t>O-N-Verluste sind geplant</w:t>
      </w:r>
      <w:r w:rsidR="00397112">
        <w:rPr>
          <w:rFonts w:cs="Arial"/>
          <w:sz w:val="24"/>
          <w:szCs w:val="24"/>
        </w:rPr>
        <w:t>.</w:t>
      </w:r>
    </w:p>
    <w:p w14:paraId="2EF86F2B" w14:textId="77777777" w:rsidR="00397112" w:rsidRDefault="00397112" w:rsidP="00904751">
      <w:pPr>
        <w:tabs>
          <w:tab w:val="left" w:pos="0"/>
        </w:tabs>
        <w:spacing w:before="60" w:after="0"/>
        <w:rPr>
          <w:rFonts w:cs="Arial"/>
          <w:sz w:val="24"/>
          <w:szCs w:val="24"/>
        </w:rPr>
      </w:pPr>
    </w:p>
    <w:p w14:paraId="7D290D6F" w14:textId="77777777" w:rsidR="00770685" w:rsidRPr="00E32DAF" w:rsidRDefault="00770685" w:rsidP="00904751">
      <w:pPr>
        <w:tabs>
          <w:tab w:val="left" w:pos="0"/>
        </w:tabs>
        <w:spacing w:before="60" w:after="0"/>
        <w:rPr>
          <w:rFonts w:cs="Arial"/>
          <w:sz w:val="24"/>
          <w:szCs w:val="24"/>
          <w:lang w:val="en-US"/>
        </w:rPr>
      </w:pPr>
      <w:r w:rsidRPr="00E32DAF">
        <w:rPr>
          <w:rFonts w:cs="Arial"/>
          <w:b/>
          <w:sz w:val="24"/>
          <w:szCs w:val="24"/>
          <w:lang w:val="en-US"/>
        </w:rPr>
        <w:t>Literatur</w:t>
      </w:r>
    </w:p>
    <w:p w14:paraId="704DB5F5" w14:textId="77777777" w:rsidR="00005BE4" w:rsidRPr="004F1E9C" w:rsidRDefault="00005BE4" w:rsidP="00005BE4">
      <w:pPr>
        <w:pStyle w:val="Zitate"/>
        <w:spacing w:before="60" w:after="0"/>
        <w:ind w:left="113" w:hanging="113"/>
        <w:rPr>
          <w:sz w:val="24"/>
          <w:szCs w:val="24"/>
        </w:rPr>
      </w:pPr>
      <w:r w:rsidRPr="004F1E9C">
        <w:rPr>
          <w:sz w:val="24"/>
          <w:szCs w:val="24"/>
        </w:rPr>
        <w:t>Amberger, A., 1996: Pflanzenernährung. 4. Aufl., UTB Verlag Stuttgart, S. 158.</w:t>
      </w:r>
    </w:p>
    <w:p w14:paraId="704A7129" w14:textId="77777777" w:rsidR="00005BE4" w:rsidRPr="004F1E9C" w:rsidRDefault="00005BE4" w:rsidP="00005BE4">
      <w:pPr>
        <w:pStyle w:val="Zitate"/>
        <w:spacing w:before="60" w:after="0"/>
        <w:ind w:left="113" w:hanging="113"/>
        <w:rPr>
          <w:sz w:val="24"/>
          <w:szCs w:val="24"/>
          <w:lang w:val="en-US"/>
        </w:rPr>
      </w:pPr>
      <w:r w:rsidRPr="004F1E9C">
        <w:rPr>
          <w:sz w:val="24"/>
          <w:szCs w:val="24"/>
          <w:lang w:val="en-US"/>
        </w:rPr>
        <w:t>Davidson, E.A., 1991: Fluxes of nitrous oxide and nitric oxide from terrestrial ecosystems. In: Rogers, J.E., Whitman, W.B. (eds.): Microbial Production and Consumption of Greenhouse Gases: Methane, Nitrogen Oxides and Halomethanes. Washington (DC), American Society for Microbiology.</w:t>
      </w:r>
    </w:p>
    <w:p w14:paraId="72E42728" w14:textId="77777777" w:rsidR="00005BE4" w:rsidRPr="004F1E9C" w:rsidRDefault="00005BE4" w:rsidP="00005BE4">
      <w:pPr>
        <w:pStyle w:val="Zitate"/>
        <w:spacing w:before="60" w:after="0"/>
        <w:ind w:left="113" w:hanging="113"/>
        <w:rPr>
          <w:sz w:val="24"/>
          <w:szCs w:val="24"/>
          <w:lang w:val="en-US"/>
        </w:rPr>
      </w:pPr>
      <w:r w:rsidRPr="004F1E9C">
        <w:rPr>
          <w:sz w:val="24"/>
          <w:szCs w:val="24"/>
          <w:lang w:val="en-US"/>
        </w:rPr>
        <w:t>Intergovernmental Panel on Climate Change (IPCC), 2007: Climate Change. In: Synthesisreport of the fourth assessment report of IPCC, p. 49 (Chapter 3).</w:t>
      </w:r>
    </w:p>
    <w:p w14:paraId="35BF0DB6" w14:textId="77777777" w:rsidR="00005BE4" w:rsidRPr="004F1E9C" w:rsidRDefault="00005BE4" w:rsidP="00005BE4">
      <w:pPr>
        <w:pStyle w:val="Zitate"/>
        <w:spacing w:before="60" w:after="0"/>
        <w:ind w:left="113" w:hanging="113"/>
        <w:rPr>
          <w:sz w:val="24"/>
          <w:szCs w:val="24"/>
        </w:rPr>
      </w:pPr>
      <w:r w:rsidRPr="004F1E9C">
        <w:rPr>
          <w:sz w:val="24"/>
          <w:szCs w:val="24"/>
        </w:rPr>
        <w:t>LfUG (Sächsisches Landesamt für Umwelt und Geologie), 2004: Materialienband zur Altlastenbehandlung. Musterleistungsbeschreibung/ Musterleistungsverzeichnis: Laborative Untersuchungen zur Sickerwasserprognose im Rahmen der Detailerkundung.</w:t>
      </w:r>
    </w:p>
    <w:p w14:paraId="7D7DD368" w14:textId="77777777" w:rsidR="00005BE4" w:rsidRPr="004F1E9C" w:rsidRDefault="00005BE4" w:rsidP="00005BE4">
      <w:pPr>
        <w:pStyle w:val="Zitate"/>
        <w:spacing w:before="60" w:after="0"/>
        <w:ind w:left="113" w:hanging="113"/>
        <w:rPr>
          <w:sz w:val="24"/>
          <w:szCs w:val="24"/>
        </w:rPr>
      </w:pPr>
      <w:r w:rsidRPr="004F1E9C">
        <w:rPr>
          <w:sz w:val="24"/>
          <w:szCs w:val="24"/>
          <w:lang w:val="en-US"/>
        </w:rPr>
        <w:t>Russow, R., Spott, O., Stange, C.F., 2008: Evaluation of nitrate and ammonium as sources of NO and N</w:t>
      </w:r>
      <w:r w:rsidRPr="004F1E9C">
        <w:rPr>
          <w:sz w:val="24"/>
          <w:szCs w:val="24"/>
          <w:vertAlign w:val="subscript"/>
          <w:lang w:val="en-US"/>
        </w:rPr>
        <w:t>2</w:t>
      </w:r>
      <w:r w:rsidRPr="004F1E9C">
        <w:rPr>
          <w:sz w:val="24"/>
          <w:szCs w:val="24"/>
          <w:lang w:val="en-US"/>
        </w:rPr>
        <w:t xml:space="preserve">O emissions from black earth soils (Haplic Chernozem) based on </w:t>
      </w:r>
      <w:r w:rsidRPr="004F1E9C">
        <w:rPr>
          <w:sz w:val="24"/>
          <w:szCs w:val="24"/>
          <w:vertAlign w:val="superscript"/>
          <w:lang w:val="en-US"/>
        </w:rPr>
        <w:t>15</w:t>
      </w:r>
      <w:r w:rsidRPr="004F1E9C">
        <w:rPr>
          <w:sz w:val="24"/>
          <w:szCs w:val="24"/>
          <w:lang w:val="en-US"/>
        </w:rPr>
        <w:t xml:space="preserve">N field experiments. </w:t>
      </w:r>
      <w:r w:rsidRPr="004F1E9C">
        <w:rPr>
          <w:sz w:val="24"/>
          <w:szCs w:val="24"/>
        </w:rPr>
        <w:t>Soil Biol. Biochem. 40, 380-391.</w:t>
      </w:r>
    </w:p>
    <w:p w14:paraId="4C3A967F" w14:textId="06F3C38C" w:rsidR="00F36C1E" w:rsidRPr="00F36C1E" w:rsidRDefault="00F36C1E" w:rsidP="00F36C1E">
      <w:pPr>
        <w:pStyle w:val="Zitate"/>
        <w:spacing w:before="60"/>
        <w:ind w:left="113" w:hanging="113"/>
        <w:rPr>
          <w:i/>
          <w:sz w:val="24"/>
          <w:szCs w:val="24"/>
          <w:lang w:val="en-GB"/>
        </w:rPr>
      </w:pPr>
      <w:r w:rsidRPr="00F36C1E">
        <w:rPr>
          <w:sz w:val="24"/>
          <w:szCs w:val="24"/>
          <w:lang w:val="en-US"/>
        </w:rPr>
        <w:t>Sigman, D. M., Casciotti, K. L., Andreani, M., Barford, C., Galanter, M.</w:t>
      </w:r>
      <w:r>
        <w:rPr>
          <w:sz w:val="24"/>
          <w:szCs w:val="24"/>
          <w:lang w:val="en-US"/>
        </w:rPr>
        <w:t>,</w:t>
      </w:r>
      <w:r w:rsidRPr="00F36C1E">
        <w:rPr>
          <w:sz w:val="24"/>
          <w:szCs w:val="24"/>
          <w:lang w:val="en-US"/>
        </w:rPr>
        <w:t xml:space="preserve"> Böhlke</w:t>
      </w:r>
      <w:r>
        <w:rPr>
          <w:sz w:val="24"/>
          <w:szCs w:val="24"/>
          <w:lang w:val="en-US"/>
        </w:rPr>
        <w:t xml:space="preserve">, J., </w:t>
      </w:r>
      <w:r w:rsidRPr="00F36C1E">
        <w:rPr>
          <w:sz w:val="24"/>
          <w:szCs w:val="24"/>
          <w:lang w:val="en-US"/>
        </w:rPr>
        <w:t xml:space="preserve">2001: A Bacterial Method for the Nitrogen </w:t>
      </w:r>
      <w:r w:rsidRPr="00F36C1E">
        <w:rPr>
          <w:sz w:val="24"/>
          <w:szCs w:val="24"/>
          <w:lang w:val="en-US"/>
        </w:rPr>
        <w:lastRenderedPageBreak/>
        <w:t>Isotopic Analysis of Nitrate in Seawater and Freshwater. Anal. Chem. 73 (17), 4145–4153. DOI: 10.1021/ac010088e.</w:t>
      </w:r>
    </w:p>
    <w:p w14:paraId="5F244A3F" w14:textId="77777777" w:rsidR="00005BE4" w:rsidRPr="004F1E9C" w:rsidRDefault="00005BE4" w:rsidP="00005BE4">
      <w:pPr>
        <w:pStyle w:val="Zitate"/>
        <w:spacing w:before="60" w:after="0"/>
        <w:ind w:left="113" w:hanging="113"/>
        <w:rPr>
          <w:sz w:val="24"/>
          <w:szCs w:val="24"/>
        </w:rPr>
      </w:pPr>
      <w:r w:rsidRPr="004F1E9C">
        <w:rPr>
          <w:sz w:val="24"/>
          <w:szCs w:val="24"/>
        </w:rPr>
        <w:t>Verband Deutscher Landwirtschaftlicher Untersuchungs- und Forschungsanstalten (VDLUFA) (Hrsg.), 2002: Methode A 6.1.4.1, Bestimmung von mineralischem Stickstoff (Nitrat u. Ammonium) in Bodenprofilen (N</w:t>
      </w:r>
      <w:r w:rsidRPr="004F1E9C">
        <w:rPr>
          <w:sz w:val="24"/>
          <w:szCs w:val="24"/>
          <w:vertAlign w:val="subscript"/>
        </w:rPr>
        <w:t>min</w:t>
      </w:r>
      <w:r w:rsidRPr="004F1E9C">
        <w:rPr>
          <w:sz w:val="24"/>
          <w:szCs w:val="24"/>
        </w:rPr>
        <w:t>-</w:t>
      </w:r>
      <w:smartTag w:uri="urn:schemas-microsoft-com:office:smarttags" w:element="PersonName">
        <w:r w:rsidRPr="004F1E9C">
          <w:rPr>
            <w:sz w:val="24"/>
            <w:szCs w:val="24"/>
          </w:rPr>
          <w:t>Labor</w:t>
        </w:r>
      </w:smartTag>
      <w:r w:rsidRPr="004F1E9C">
        <w:rPr>
          <w:sz w:val="24"/>
          <w:szCs w:val="24"/>
        </w:rPr>
        <w:t>methode). In: Handbuch der Landwirtschaftlichen Versuchs- und Untersuchungsmethodik (VDLUFA-Methodenbuch), Bd. I Die Untersuchung von Böden, 4. Aufl., VDLUFA-Verlag, Darmstadt.</w:t>
      </w:r>
    </w:p>
    <w:p w14:paraId="0E412A55" w14:textId="77777777" w:rsidR="00005BE4" w:rsidRPr="004F1E9C" w:rsidRDefault="00005BE4" w:rsidP="00F36C1E">
      <w:pPr>
        <w:pStyle w:val="Zitate"/>
        <w:spacing w:before="60" w:after="0"/>
        <w:ind w:left="113" w:hanging="113"/>
        <w:rPr>
          <w:sz w:val="24"/>
          <w:szCs w:val="24"/>
        </w:rPr>
      </w:pPr>
      <w:r w:rsidRPr="004F1E9C">
        <w:rPr>
          <w:sz w:val="24"/>
          <w:szCs w:val="24"/>
        </w:rPr>
        <w:t xml:space="preserve">Zhang, Y., Shi, P., Song, J., Li, Q., 2019: </w:t>
      </w:r>
      <w:r w:rsidRPr="004F1E9C">
        <w:rPr>
          <w:bCs/>
          <w:sz w:val="24"/>
          <w:szCs w:val="24"/>
        </w:rPr>
        <w:t>Application of Nitrogen and Oxygen Isotopes for Source and Fate Identification of Nitrate Pollution in Surface Water: A Review. Appl. Sci. 9, 18.</w:t>
      </w:r>
    </w:p>
    <w:p w14:paraId="7501B161" w14:textId="77777777" w:rsidR="00005BE4" w:rsidRPr="004F1E9C" w:rsidRDefault="00005BE4" w:rsidP="00005BE4">
      <w:pPr>
        <w:pStyle w:val="Zitate"/>
        <w:spacing w:before="60" w:after="0"/>
        <w:ind w:left="113" w:hanging="113"/>
        <w:rPr>
          <w:sz w:val="24"/>
          <w:szCs w:val="24"/>
        </w:rPr>
      </w:pPr>
      <w:r w:rsidRPr="004F1E9C">
        <w:rPr>
          <w:sz w:val="24"/>
          <w:szCs w:val="24"/>
        </w:rPr>
        <w:t>Zurheide, T., Pralle, H., Westerschulte M., Federolf C.-P., Vergara M.-E., Trautz D., Olfs H.-W., 2016: Untersuchung von Lachgasemissionen bei Gülledepot-Applikation mit Zugabe von Nitrifikationshemmstoffen am Standort Osnabrück. VDLUFA-Schriftenreihe 72, 88-96.</w:t>
      </w:r>
    </w:p>
    <w:p w14:paraId="5CFEC069" w14:textId="77777777" w:rsidR="00005BE4" w:rsidRPr="004F1E9C" w:rsidRDefault="00005BE4" w:rsidP="00005BE4">
      <w:pPr>
        <w:pStyle w:val="Zitate"/>
        <w:spacing w:before="60" w:after="0"/>
        <w:ind w:left="113" w:hanging="113"/>
        <w:rPr>
          <w:sz w:val="24"/>
          <w:szCs w:val="24"/>
        </w:rPr>
      </w:pPr>
    </w:p>
    <w:sectPr w:rsidR="00005BE4" w:rsidRPr="004F1E9C" w:rsidSect="00A35097">
      <w:pgSz w:w="11906" w:h="16838"/>
      <w:pgMar w:top="851" w:right="851"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64E4" w14:textId="77777777" w:rsidR="00620C0B" w:rsidRDefault="00620C0B" w:rsidP="005452B4">
      <w:pPr>
        <w:spacing w:before="0" w:after="0" w:line="240" w:lineRule="auto"/>
      </w:pPr>
      <w:r>
        <w:separator/>
      </w:r>
    </w:p>
  </w:endnote>
  <w:endnote w:type="continuationSeparator" w:id="0">
    <w:p w14:paraId="54E2C510" w14:textId="77777777" w:rsidR="00620C0B" w:rsidRDefault="00620C0B" w:rsidP="005452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4A40" w14:textId="77777777" w:rsidR="00620C0B" w:rsidRDefault="00620C0B" w:rsidP="005452B4">
      <w:pPr>
        <w:spacing w:before="0" w:after="0" w:line="240" w:lineRule="auto"/>
      </w:pPr>
      <w:r>
        <w:separator/>
      </w:r>
    </w:p>
  </w:footnote>
  <w:footnote w:type="continuationSeparator" w:id="0">
    <w:p w14:paraId="0F295FA6" w14:textId="77777777" w:rsidR="00620C0B" w:rsidRDefault="00620C0B" w:rsidP="005452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245"/>
    <w:multiLevelType w:val="multilevel"/>
    <w:tmpl w:val="7A464826"/>
    <w:lvl w:ilvl="0">
      <w:start w:val="1"/>
      <w:numFmt w:val="decimal"/>
      <w:lvlText w:val="/%1/"/>
      <w:legacy w:legacy="1" w:legacySpace="120" w:legacyIndent="360"/>
      <w:lvlJc w:val="left"/>
      <w:pPr>
        <w:ind w:left="360" w:hanging="360"/>
      </w:pPr>
      <w:rPr>
        <w:i w:val="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4A185224"/>
    <w:multiLevelType w:val="hybridMultilevel"/>
    <w:tmpl w:val="41C2087C"/>
    <w:lvl w:ilvl="0" w:tplc="4F94596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25FBA"/>
    <w:multiLevelType w:val="hybridMultilevel"/>
    <w:tmpl w:val="5704CF18"/>
    <w:lvl w:ilvl="0" w:tplc="9BAC867A">
      <w:start w:val="1"/>
      <w:numFmt w:val="low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0AC74E7"/>
    <w:multiLevelType w:val="multilevel"/>
    <w:tmpl w:val="B658E652"/>
    <w:lvl w:ilvl="0">
      <w:start w:val="1"/>
      <w:numFmt w:val="decimal"/>
      <w:lvlText w:val="%1"/>
      <w:lvlJc w:val="left"/>
      <w:pPr>
        <w:tabs>
          <w:tab w:val="num" w:pos="2417"/>
        </w:tabs>
        <w:ind w:left="2417" w:hanging="432"/>
      </w:pPr>
      <w:rPr>
        <w:rFonts w:cs="Times New Roman"/>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71DA15A0"/>
    <w:multiLevelType w:val="hybridMultilevel"/>
    <w:tmpl w:val="A2B0E90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5460A2"/>
    <w:multiLevelType w:val="hybridMultilevel"/>
    <w:tmpl w:val="C7FE1746"/>
    <w:lvl w:ilvl="0" w:tplc="CC00D01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0E"/>
    <w:rsid w:val="00000963"/>
    <w:rsid w:val="000051B8"/>
    <w:rsid w:val="00005BE4"/>
    <w:rsid w:val="0001006A"/>
    <w:rsid w:val="00010C5E"/>
    <w:rsid w:val="00010F5A"/>
    <w:rsid w:val="00014C3E"/>
    <w:rsid w:val="00014F26"/>
    <w:rsid w:val="00016423"/>
    <w:rsid w:val="00022710"/>
    <w:rsid w:val="00023FE9"/>
    <w:rsid w:val="00027313"/>
    <w:rsid w:val="00041AA6"/>
    <w:rsid w:val="00041C82"/>
    <w:rsid w:val="00044013"/>
    <w:rsid w:val="0004636B"/>
    <w:rsid w:val="00054292"/>
    <w:rsid w:val="00055CA6"/>
    <w:rsid w:val="00057F39"/>
    <w:rsid w:val="000669C7"/>
    <w:rsid w:val="00072861"/>
    <w:rsid w:val="00074506"/>
    <w:rsid w:val="00080770"/>
    <w:rsid w:val="00081E89"/>
    <w:rsid w:val="000826F9"/>
    <w:rsid w:val="00083056"/>
    <w:rsid w:val="00084DC5"/>
    <w:rsid w:val="00087DEC"/>
    <w:rsid w:val="00093D6D"/>
    <w:rsid w:val="00096637"/>
    <w:rsid w:val="00097D06"/>
    <w:rsid w:val="00097E5A"/>
    <w:rsid w:val="000A1FD8"/>
    <w:rsid w:val="000B5C49"/>
    <w:rsid w:val="000C03D9"/>
    <w:rsid w:val="000C0F51"/>
    <w:rsid w:val="000D1F18"/>
    <w:rsid w:val="000D3F50"/>
    <w:rsid w:val="000D4C3E"/>
    <w:rsid w:val="000D6BBC"/>
    <w:rsid w:val="000E0979"/>
    <w:rsid w:val="000E1F84"/>
    <w:rsid w:val="000E56D0"/>
    <w:rsid w:val="000E76DB"/>
    <w:rsid w:val="000F3151"/>
    <w:rsid w:val="000F4F51"/>
    <w:rsid w:val="00104803"/>
    <w:rsid w:val="00104B44"/>
    <w:rsid w:val="00106B69"/>
    <w:rsid w:val="001151D1"/>
    <w:rsid w:val="00117301"/>
    <w:rsid w:val="00117945"/>
    <w:rsid w:val="00117C03"/>
    <w:rsid w:val="001257D8"/>
    <w:rsid w:val="00130F80"/>
    <w:rsid w:val="001319DD"/>
    <w:rsid w:val="00133528"/>
    <w:rsid w:val="001338BE"/>
    <w:rsid w:val="0013462A"/>
    <w:rsid w:val="001358BE"/>
    <w:rsid w:val="00147AAB"/>
    <w:rsid w:val="00151497"/>
    <w:rsid w:val="0015555C"/>
    <w:rsid w:val="00157EA2"/>
    <w:rsid w:val="001652BB"/>
    <w:rsid w:val="00171064"/>
    <w:rsid w:val="00175055"/>
    <w:rsid w:val="00183456"/>
    <w:rsid w:val="0019179B"/>
    <w:rsid w:val="001A2944"/>
    <w:rsid w:val="001A50FC"/>
    <w:rsid w:val="001B25FE"/>
    <w:rsid w:val="001B3715"/>
    <w:rsid w:val="001B6B70"/>
    <w:rsid w:val="001B775C"/>
    <w:rsid w:val="001C04FE"/>
    <w:rsid w:val="001C14FF"/>
    <w:rsid w:val="001C15EF"/>
    <w:rsid w:val="001C2C18"/>
    <w:rsid w:val="001C32B6"/>
    <w:rsid w:val="001C7A1B"/>
    <w:rsid w:val="001D599F"/>
    <w:rsid w:val="001D7A9F"/>
    <w:rsid w:val="001E302E"/>
    <w:rsid w:val="001E35DD"/>
    <w:rsid w:val="001F261A"/>
    <w:rsid w:val="001F5849"/>
    <w:rsid w:val="001F5B49"/>
    <w:rsid w:val="00201A19"/>
    <w:rsid w:val="002066D0"/>
    <w:rsid w:val="00206F09"/>
    <w:rsid w:val="0021210B"/>
    <w:rsid w:val="002126DD"/>
    <w:rsid w:val="00220BC2"/>
    <w:rsid w:val="00221D84"/>
    <w:rsid w:val="0022302D"/>
    <w:rsid w:val="0022441A"/>
    <w:rsid w:val="0023001B"/>
    <w:rsid w:val="002307CB"/>
    <w:rsid w:val="00235036"/>
    <w:rsid w:val="00237750"/>
    <w:rsid w:val="00241EF9"/>
    <w:rsid w:val="0024577C"/>
    <w:rsid w:val="0024708F"/>
    <w:rsid w:val="00251652"/>
    <w:rsid w:val="00254360"/>
    <w:rsid w:val="0025473E"/>
    <w:rsid w:val="0025646A"/>
    <w:rsid w:val="0025646D"/>
    <w:rsid w:val="0025667A"/>
    <w:rsid w:val="00256F6A"/>
    <w:rsid w:val="00262D64"/>
    <w:rsid w:val="002663A5"/>
    <w:rsid w:val="00267235"/>
    <w:rsid w:val="00285B21"/>
    <w:rsid w:val="00291B6F"/>
    <w:rsid w:val="002935C8"/>
    <w:rsid w:val="00295EAC"/>
    <w:rsid w:val="00296B6E"/>
    <w:rsid w:val="002B1E09"/>
    <w:rsid w:val="002B5841"/>
    <w:rsid w:val="002B63CA"/>
    <w:rsid w:val="002C6FB3"/>
    <w:rsid w:val="002C7F9F"/>
    <w:rsid w:val="002D0024"/>
    <w:rsid w:val="002D1EAA"/>
    <w:rsid w:val="002D32F8"/>
    <w:rsid w:val="002D3878"/>
    <w:rsid w:val="002D4A0C"/>
    <w:rsid w:val="002D5CBE"/>
    <w:rsid w:val="002E334E"/>
    <w:rsid w:val="002E6107"/>
    <w:rsid w:val="002F2E34"/>
    <w:rsid w:val="00303915"/>
    <w:rsid w:val="00304A99"/>
    <w:rsid w:val="00306709"/>
    <w:rsid w:val="00307256"/>
    <w:rsid w:val="003131E7"/>
    <w:rsid w:val="0031637A"/>
    <w:rsid w:val="003211F1"/>
    <w:rsid w:val="00321E90"/>
    <w:rsid w:val="00324939"/>
    <w:rsid w:val="003268CD"/>
    <w:rsid w:val="003270D5"/>
    <w:rsid w:val="00327212"/>
    <w:rsid w:val="0033131C"/>
    <w:rsid w:val="00334F84"/>
    <w:rsid w:val="00335E15"/>
    <w:rsid w:val="003362BA"/>
    <w:rsid w:val="00340889"/>
    <w:rsid w:val="0034459E"/>
    <w:rsid w:val="00346628"/>
    <w:rsid w:val="003544B7"/>
    <w:rsid w:val="003547D3"/>
    <w:rsid w:val="0036068A"/>
    <w:rsid w:val="00363112"/>
    <w:rsid w:val="00363CAA"/>
    <w:rsid w:val="00366A55"/>
    <w:rsid w:val="00370CA6"/>
    <w:rsid w:val="00375461"/>
    <w:rsid w:val="00375CD7"/>
    <w:rsid w:val="00381E57"/>
    <w:rsid w:val="00384CD8"/>
    <w:rsid w:val="00390384"/>
    <w:rsid w:val="00393362"/>
    <w:rsid w:val="00397112"/>
    <w:rsid w:val="003C15A2"/>
    <w:rsid w:val="003C575A"/>
    <w:rsid w:val="003D2552"/>
    <w:rsid w:val="003E4341"/>
    <w:rsid w:val="003F543E"/>
    <w:rsid w:val="00401025"/>
    <w:rsid w:val="00402CD4"/>
    <w:rsid w:val="004034CF"/>
    <w:rsid w:val="004053B2"/>
    <w:rsid w:val="00412DCB"/>
    <w:rsid w:val="004179B5"/>
    <w:rsid w:val="00422092"/>
    <w:rsid w:val="0042566B"/>
    <w:rsid w:val="00441240"/>
    <w:rsid w:val="00442657"/>
    <w:rsid w:val="004441CC"/>
    <w:rsid w:val="00454FD2"/>
    <w:rsid w:val="00455B19"/>
    <w:rsid w:val="004568FC"/>
    <w:rsid w:val="00456D20"/>
    <w:rsid w:val="0045779C"/>
    <w:rsid w:val="00472435"/>
    <w:rsid w:val="00473F3B"/>
    <w:rsid w:val="004815E6"/>
    <w:rsid w:val="004826F0"/>
    <w:rsid w:val="0048297A"/>
    <w:rsid w:val="004847AB"/>
    <w:rsid w:val="004900D2"/>
    <w:rsid w:val="00492A7B"/>
    <w:rsid w:val="0049422D"/>
    <w:rsid w:val="00494717"/>
    <w:rsid w:val="004948A7"/>
    <w:rsid w:val="004A2BD4"/>
    <w:rsid w:val="004A7E28"/>
    <w:rsid w:val="004B235F"/>
    <w:rsid w:val="004B5ADD"/>
    <w:rsid w:val="004B67FB"/>
    <w:rsid w:val="004C08E5"/>
    <w:rsid w:val="004C0997"/>
    <w:rsid w:val="004C1952"/>
    <w:rsid w:val="004D3E7B"/>
    <w:rsid w:val="004D7816"/>
    <w:rsid w:val="004E04B8"/>
    <w:rsid w:val="004E1D0C"/>
    <w:rsid w:val="004E26E9"/>
    <w:rsid w:val="004E2B6A"/>
    <w:rsid w:val="004E579E"/>
    <w:rsid w:val="004E5921"/>
    <w:rsid w:val="004E7AEA"/>
    <w:rsid w:val="004F1E9C"/>
    <w:rsid w:val="004F3EB9"/>
    <w:rsid w:val="004F48F0"/>
    <w:rsid w:val="004F6115"/>
    <w:rsid w:val="0050058F"/>
    <w:rsid w:val="005075EF"/>
    <w:rsid w:val="00510740"/>
    <w:rsid w:val="00512868"/>
    <w:rsid w:val="005201E0"/>
    <w:rsid w:val="0052083D"/>
    <w:rsid w:val="005250E2"/>
    <w:rsid w:val="0052533E"/>
    <w:rsid w:val="005274A4"/>
    <w:rsid w:val="00531792"/>
    <w:rsid w:val="005356BB"/>
    <w:rsid w:val="00535FAB"/>
    <w:rsid w:val="0053607E"/>
    <w:rsid w:val="00541A98"/>
    <w:rsid w:val="00542743"/>
    <w:rsid w:val="00544CE2"/>
    <w:rsid w:val="005452B4"/>
    <w:rsid w:val="00546312"/>
    <w:rsid w:val="0054698C"/>
    <w:rsid w:val="005564BC"/>
    <w:rsid w:val="00557828"/>
    <w:rsid w:val="00560AAA"/>
    <w:rsid w:val="00564835"/>
    <w:rsid w:val="0056536B"/>
    <w:rsid w:val="00565516"/>
    <w:rsid w:val="00573F10"/>
    <w:rsid w:val="00580315"/>
    <w:rsid w:val="00582330"/>
    <w:rsid w:val="00582480"/>
    <w:rsid w:val="00584E64"/>
    <w:rsid w:val="00592CF9"/>
    <w:rsid w:val="00594DF0"/>
    <w:rsid w:val="005A1062"/>
    <w:rsid w:val="005A2F1E"/>
    <w:rsid w:val="005A3116"/>
    <w:rsid w:val="005B488F"/>
    <w:rsid w:val="005C7ABA"/>
    <w:rsid w:val="005D1F75"/>
    <w:rsid w:val="005D2C4E"/>
    <w:rsid w:val="005D45C9"/>
    <w:rsid w:val="005D7F30"/>
    <w:rsid w:val="005E1CF1"/>
    <w:rsid w:val="005F0560"/>
    <w:rsid w:val="00600828"/>
    <w:rsid w:val="006014DF"/>
    <w:rsid w:val="00611386"/>
    <w:rsid w:val="006208E7"/>
    <w:rsid w:val="00620C0B"/>
    <w:rsid w:val="00620F73"/>
    <w:rsid w:val="00622E45"/>
    <w:rsid w:val="0062756E"/>
    <w:rsid w:val="00635E8F"/>
    <w:rsid w:val="00642A20"/>
    <w:rsid w:val="00645DBC"/>
    <w:rsid w:val="00653639"/>
    <w:rsid w:val="00661191"/>
    <w:rsid w:val="006630EB"/>
    <w:rsid w:val="00670056"/>
    <w:rsid w:val="00670B7C"/>
    <w:rsid w:val="0067485D"/>
    <w:rsid w:val="006850DF"/>
    <w:rsid w:val="00691270"/>
    <w:rsid w:val="00693026"/>
    <w:rsid w:val="006942C1"/>
    <w:rsid w:val="006948FE"/>
    <w:rsid w:val="00696EF5"/>
    <w:rsid w:val="006A0B28"/>
    <w:rsid w:val="006A2E1A"/>
    <w:rsid w:val="006A40FB"/>
    <w:rsid w:val="006A4C1C"/>
    <w:rsid w:val="006B3695"/>
    <w:rsid w:val="006B3E27"/>
    <w:rsid w:val="006C3724"/>
    <w:rsid w:val="006C3A1E"/>
    <w:rsid w:val="006D2DA4"/>
    <w:rsid w:val="006D7116"/>
    <w:rsid w:val="006E50DF"/>
    <w:rsid w:val="006E59CA"/>
    <w:rsid w:val="006E5E9E"/>
    <w:rsid w:val="006E729D"/>
    <w:rsid w:val="006F050A"/>
    <w:rsid w:val="00700490"/>
    <w:rsid w:val="00703679"/>
    <w:rsid w:val="00704B17"/>
    <w:rsid w:val="007075FA"/>
    <w:rsid w:val="00711AEC"/>
    <w:rsid w:val="00720046"/>
    <w:rsid w:val="00721BBD"/>
    <w:rsid w:val="00725787"/>
    <w:rsid w:val="0072630B"/>
    <w:rsid w:val="007275D3"/>
    <w:rsid w:val="007342D9"/>
    <w:rsid w:val="007424E0"/>
    <w:rsid w:val="00747099"/>
    <w:rsid w:val="00751524"/>
    <w:rsid w:val="007613F7"/>
    <w:rsid w:val="0076229D"/>
    <w:rsid w:val="00765FC4"/>
    <w:rsid w:val="00767EBE"/>
    <w:rsid w:val="00770685"/>
    <w:rsid w:val="00775DD3"/>
    <w:rsid w:val="0078034F"/>
    <w:rsid w:val="00782C2A"/>
    <w:rsid w:val="00783B28"/>
    <w:rsid w:val="00786A60"/>
    <w:rsid w:val="007956E4"/>
    <w:rsid w:val="007962DB"/>
    <w:rsid w:val="0079662F"/>
    <w:rsid w:val="007A11BC"/>
    <w:rsid w:val="007A362C"/>
    <w:rsid w:val="007A6213"/>
    <w:rsid w:val="007A667E"/>
    <w:rsid w:val="007B3B9C"/>
    <w:rsid w:val="007C6700"/>
    <w:rsid w:val="007D17C6"/>
    <w:rsid w:val="007D4CB4"/>
    <w:rsid w:val="007D530F"/>
    <w:rsid w:val="007E1CE2"/>
    <w:rsid w:val="007E6190"/>
    <w:rsid w:val="007F102B"/>
    <w:rsid w:val="007F7FC7"/>
    <w:rsid w:val="00800D58"/>
    <w:rsid w:val="00800DF6"/>
    <w:rsid w:val="00801BF1"/>
    <w:rsid w:val="00802245"/>
    <w:rsid w:val="008030F0"/>
    <w:rsid w:val="0081320B"/>
    <w:rsid w:val="00824D92"/>
    <w:rsid w:val="0082582B"/>
    <w:rsid w:val="00826B82"/>
    <w:rsid w:val="00827E9A"/>
    <w:rsid w:val="00832174"/>
    <w:rsid w:val="008339C4"/>
    <w:rsid w:val="00834E53"/>
    <w:rsid w:val="0083705C"/>
    <w:rsid w:val="0084729B"/>
    <w:rsid w:val="008479C7"/>
    <w:rsid w:val="00855455"/>
    <w:rsid w:val="00857C3F"/>
    <w:rsid w:val="00860705"/>
    <w:rsid w:val="00865595"/>
    <w:rsid w:val="00865689"/>
    <w:rsid w:val="00870563"/>
    <w:rsid w:val="00872787"/>
    <w:rsid w:val="00873B35"/>
    <w:rsid w:val="0088345C"/>
    <w:rsid w:val="00884870"/>
    <w:rsid w:val="0088665F"/>
    <w:rsid w:val="00886E55"/>
    <w:rsid w:val="00887093"/>
    <w:rsid w:val="00887C96"/>
    <w:rsid w:val="008905C3"/>
    <w:rsid w:val="00891045"/>
    <w:rsid w:val="00892AB2"/>
    <w:rsid w:val="008A58E7"/>
    <w:rsid w:val="008B359A"/>
    <w:rsid w:val="008B492B"/>
    <w:rsid w:val="008C0B79"/>
    <w:rsid w:val="008D53D6"/>
    <w:rsid w:val="008D7065"/>
    <w:rsid w:val="008D7363"/>
    <w:rsid w:val="008E1190"/>
    <w:rsid w:val="008E305A"/>
    <w:rsid w:val="008E47DA"/>
    <w:rsid w:val="008E7530"/>
    <w:rsid w:val="008F1EDF"/>
    <w:rsid w:val="008F3ED3"/>
    <w:rsid w:val="00903C16"/>
    <w:rsid w:val="00904751"/>
    <w:rsid w:val="0090790A"/>
    <w:rsid w:val="00911D48"/>
    <w:rsid w:val="00917384"/>
    <w:rsid w:val="00917A45"/>
    <w:rsid w:val="0092094D"/>
    <w:rsid w:val="009255EF"/>
    <w:rsid w:val="00927BC1"/>
    <w:rsid w:val="00934449"/>
    <w:rsid w:val="00937B5E"/>
    <w:rsid w:val="00942639"/>
    <w:rsid w:val="009460D6"/>
    <w:rsid w:val="00946CF2"/>
    <w:rsid w:val="00953B71"/>
    <w:rsid w:val="0095443A"/>
    <w:rsid w:val="00961655"/>
    <w:rsid w:val="0097066F"/>
    <w:rsid w:val="00971834"/>
    <w:rsid w:val="0097680F"/>
    <w:rsid w:val="00981944"/>
    <w:rsid w:val="00985FCB"/>
    <w:rsid w:val="00994187"/>
    <w:rsid w:val="009B0652"/>
    <w:rsid w:val="009B5445"/>
    <w:rsid w:val="009B7DEB"/>
    <w:rsid w:val="009C0BAA"/>
    <w:rsid w:val="009C38A2"/>
    <w:rsid w:val="009C51F1"/>
    <w:rsid w:val="009D094F"/>
    <w:rsid w:val="009D230E"/>
    <w:rsid w:val="009D2A9B"/>
    <w:rsid w:val="009D3205"/>
    <w:rsid w:val="009D4264"/>
    <w:rsid w:val="009D6BCE"/>
    <w:rsid w:val="009E7DB4"/>
    <w:rsid w:val="009F060B"/>
    <w:rsid w:val="009F157F"/>
    <w:rsid w:val="009F1CCC"/>
    <w:rsid w:val="009F532A"/>
    <w:rsid w:val="009F5B4C"/>
    <w:rsid w:val="00A0759D"/>
    <w:rsid w:val="00A10EDD"/>
    <w:rsid w:val="00A141E5"/>
    <w:rsid w:val="00A16571"/>
    <w:rsid w:val="00A24CB3"/>
    <w:rsid w:val="00A2561A"/>
    <w:rsid w:val="00A26434"/>
    <w:rsid w:val="00A26D83"/>
    <w:rsid w:val="00A30E21"/>
    <w:rsid w:val="00A312BC"/>
    <w:rsid w:val="00A35097"/>
    <w:rsid w:val="00A47E60"/>
    <w:rsid w:val="00A47F4B"/>
    <w:rsid w:val="00A545EC"/>
    <w:rsid w:val="00A551C4"/>
    <w:rsid w:val="00A5520C"/>
    <w:rsid w:val="00A70CA4"/>
    <w:rsid w:val="00A76B74"/>
    <w:rsid w:val="00A87530"/>
    <w:rsid w:val="00AA1471"/>
    <w:rsid w:val="00AA58E4"/>
    <w:rsid w:val="00AA5931"/>
    <w:rsid w:val="00AA681A"/>
    <w:rsid w:val="00AA6EC3"/>
    <w:rsid w:val="00AC6890"/>
    <w:rsid w:val="00AC78CC"/>
    <w:rsid w:val="00AD39C1"/>
    <w:rsid w:val="00AD3F43"/>
    <w:rsid w:val="00AE0E7D"/>
    <w:rsid w:val="00AE141D"/>
    <w:rsid w:val="00AE4E21"/>
    <w:rsid w:val="00AF229C"/>
    <w:rsid w:val="00AF2307"/>
    <w:rsid w:val="00AF5DC0"/>
    <w:rsid w:val="00AF619E"/>
    <w:rsid w:val="00AF7D18"/>
    <w:rsid w:val="00B035CE"/>
    <w:rsid w:val="00B12E59"/>
    <w:rsid w:val="00B17A1A"/>
    <w:rsid w:val="00B2440D"/>
    <w:rsid w:val="00B2612C"/>
    <w:rsid w:val="00B30967"/>
    <w:rsid w:val="00B313B5"/>
    <w:rsid w:val="00B32431"/>
    <w:rsid w:val="00B34229"/>
    <w:rsid w:val="00B34F3A"/>
    <w:rsid w:val="00B443BA"/>
    <w:rsid w:val="00B44791"/>
    <w:rsid w:val="00B45C8C"/>
    <w:rsid w:val="00B47184"/>
    <w:rsid w:val="00B60837"/>
    <w:rsid w:val="00B61903"/>
    <w:rsid w:val="00B65BE5"/>
    <w:rsid w:val="00B67690"/>
    <w:rsid w:val="00B73FFD"/>
    <w:rsid w:val="00B753E2"/>
    <w:rsid w:val="00B77E75"/>
    <w:rsid w:val="00B8364B"/>
    <w:rsid w:val="00B86F31"/>
    <w:rsid w:val="00B91A3C"/>
    <w:rsid w:val="00B953DD"/>
    <w:rsid w:val="00BA0B56"/>
    <w:rsid w:val="00BA0EDE"/>
    <w:rsid w:val="00BA1745"/>
    <w:rsid w:val="00BA43EB"/>
    <w:rsid w:val="00BA44F5"/>
    <w:rsid w:val="00BA6336"/>
    <w:rsid w:val="00BA72CC"/>
    <w:rsid w:val="00BA7313"/>
    <w:rsid w:val="00BB778B"/>
    <w:rsid w:val="00BC03D9"/>
    <w:rsid w:val="00BC4D00"/>
    <w:rsid w:val="00BD0C71"/>
    <w:rsid w:val="00BD17EA"/>
    <w:rsid w:val="00BD1E6E"/>
    <w:rsid w:val="00BF1D7B"/>
    <w:rsid w:val="00BF237E"/>
    <w:rsid w:val="00BF4990"/>
    <w:rsid w:val="00BF6056"/>
    <w:rsid w:val="00BF61EF"/>
    <w:rsid w:val="00BF6233"/>
    <w:rsid w:val="00BF75B5"/>
    <w:rsid w:val="00C04693"/>
    <w:rsid w:val="00C0503E"/>
    <w:rsid w:val="00C052D7"/>
    <w:rsid w:val="00C10706"/>
    <w:rsid w:val="00C10CBC"/>
    <w:rsid w:val="00C165CD"/>
    <w:rsid w:val="00C170FA"/>
    <w:rsid w:val="00C20875"/>
    <w:rsid w:val="00C2712A"/>
    <w:rsid w:val="00C32562"/>
    <w:rsid w:val="00C369F4"/>
    <w:rsid w:val="00C40563"/>
    <w:rsid w:val="00C51571"/>
    <w:rsid w:val="00C52B1C"/>
    <w:rsid w:val="00C53D29"/>
    <w:rsid w:val="00C6017A"/>
    <w:rsid w:val="00C60A5C"/>
    <w:rsid w:val="00C63A83"/>
    <w:rsid w:val="00C64F05"/>
    <w:rsid w:val="00C67CA7"/>
    <w:rsid w:val="00C722BE"/>
    <w:rsid w:val="00C7254B"/>
    <w:rsid w:val="00C73FC8"/>
    <w:rsid w:val="00C74264"/>
    <w:rsid w:val="00C75F68"/>
    <w:rsid w:val="00C80078"/>
    <w:rsid w:val="00C81630"/>
    <w:rsid w:val="00C91C6F"/>
    <w:rsid w:val="00C938E8"/>
    <w:rsid w:val="00C94A01"/>
    <w:rsid w:val="00C9588D"/>
    <w:rsid w:val="00C978BB"/>
    <w:rsid w:val="00CA3A88"/>
    <w:rsid w:val="00CA66B6"/>
    <w:rsid w:val="00CA735C"/>
    <w:rsid w:val="00CB0A5C"/>
    <w:rsid w:val="00CB0CC9"/>
    <w:rsid w:val="00CC20FA"/>
    <w:rsid w:val="00CC50CF"/>
    <w:rsid w:val="00CC574E"/>
    <w:rsid w:val="00CC763F"/>
    <w:rsid w:val="00CD1A40"/>
    <w:rsid w:val="00CD2531"/>
    <w:rsid w:val="00CE36BC"/>
    <w:rsid w:val="00CF0177"/>
    <w:rsid w:val="00CF69D8"/>
    <w:rsid w:val="00D01966"/>
    <w:rsid w:val="00D025CB"/>
    <w:rsid w:val="00D043B3"/>
    <w:rsid w:val="00D065B9"/>
    <w:rsid w:val="00D11458"/>
    <w:rsid w:val="00D27119"/>
    <w:rsid w:val="00D27AE0"/>
    <w:rsid w:val="00D27D6D"/>
    <w:rsid w:val="00D301D2"/>
    <w:rsid w:val="00D302B8"/>
    <w:rsid w:val="00D30AB6"/>
    <w:rsid w:val="00D41EA2"/>
    <w:rsid w:val="00D44AF7"/>
    <w:rsid w:val="00D46830"/>
    <w:rsid w:val="00D571D8"/>
    <w:rsid w:val="00D60C2F"/>
    <w:rsid w:val="00D62098"/>
    <w:rsid w:val="00D75178"/>
    <w:rsid w:val="00D815F8"/>
    <w:rsid w:val="00D82F11"/>
    <w:rsid w:val="00D904F2"/>
    <w:rsid w:val="00DA23DB"/>
    <w:rsid w:val="00DA3937"/>
    <w:rsid w:val="00DA4BC3"/>
    <w:rsid w:val="00DB304C"/>
    <w:rsid w:val="00DB663E"/>
    <w:rsid w:val="00DB69A5"/>
    <w:rsid w:val="00DC119E"/>
    <w:rsid w:val="00DC1CA2"/>
    <w:rsid w:val="00DC3951"/>
    <w:rsid w:val="00DD3CD6"/>
    <w:rsid w:val="00DD487E"/>
    <w:rsid w:val="00DE1C1C"/>
    <w:rsid w:val="00DE510A"/>
    <w:rsid w:val="00DF36A0"/>
    <w:rsid w:val="00DF725E"/>
    <w:rsid w:val="00E02A5C"/>
    <w:rsid w:val="00E0545E"/>
    <w:rsid w:val="00E074C2"/>
    <w:rsid w:val="00E114E6"/>
    <w:rsid w:val="00E130F6"/>
    <w:rsid w:val="00E14155"/>
    <w:rsid w:val="00E15470"/>
    <w:rsid w:val="00E17708"/>
    <w:rsid w:val="00E24B8F"/>
    <w:rsid w:val="00E24C5D"/>
    <w:rsid w:val="00E265DA"/>
    <w:rsid w:val="00E30AC0"/>
    <w:rsid w:val="00E32DAF"/>
    <w:rsid w:val="00E33EC6"/>
    <w:rsid w:val="00E341C8"/>
    <w:rsid w:val="00E369CC"/>
    <w:rsid w:val="00E458AB"/>
    <w:rsid w:val="00E45BC4"/>
    <w:rsid w:val="00E479E6"/>
    <w:rsid w:val="00E47E7A"/>
    <w:rsid w:val="00E52415"/>
    <w:rsid w:val="00E56409"/>
    <w:rsid w:val="00E654D3"/>
    <w:rsid w:val="00E6709E"/>
    <w:rsid w:val="00E81E91"/>
    <w:rsid w:val="00E83F56"/>
    <w:rsid w:val="00E936A4"/>
    <w:rsid w:val="00EA5225"/>
    <w:rsid w:val="00EA5663"/>
    <w:rsid w:val="00EA67F8"/>
    <w:rsid w:val="00EB5A22"/>
    <w:rsid w:val="00EC5E2E"/>
    <w:rsid w:val="00ED4450"/>
    <w:rsid w:val="00ED455D"/>
    <w:rsid w:val="00EE5646"/>
    <w:rsid w:val="00EF0903"/>
    <w:rsid w:val="00EF0CCC"/>
    <w:rsid w:val="00EF1EB8"/>
    <w:rsid w:val="00EF4796"/>
    <w:rsid w:val="00EF5100"/>
    <w:rsid w:val="00F040D0"/>
    <w:rsid w:val="00F05CBE"/>
    <w:rsid w:val="00F06B20"/>
    <w:rsid w:val="00F1603A"/>
    <w:rsid w:val="00F20CB2"/>
    <w:rsid w:val="00F230D1"/>
    <w:rsid w:val="00F2583B"/>
    <w:rsid w:val="00F25A86"/>
    <w:rsid w:val="00F309B1"/>
    <w:rsid w:val="00F34145"/>
    <w:rsid w:val="00F36C1E"/>
    <w:rsid w:val="00F37BA3"/>
    <w:rsid w:val="00F4202A"/>
    <w:rsid w:val="00F465F9"/>
    <w:rsid w:val="00F532DC"/>
    <w:rsid w:val="00F5508C"/>
    <w:rsid w:val="00F564F7"/>
    <w:rsid w:val="00F57EDE"/>
    <w:rsid w:val="00F6058D"/>
    <w:rsid w:val="00F637D2"/>
    <w:rsid w:val="00F648FE"/>
    <w:rsid w:val="00F653B5"/>
    <w:rsid w:val="00F67F35"/>
    <w:rsid w:val="00F7055D"/>
    <w:rsid w:val="00F72A5F"/>
    <w:rsid w:val="00F7711C"/>
    <w:rsid w:val="00F90299"/>
    <w:rsid w:val="00F91A63"/>
    <w:rsid w:val="00F94D74"/>
    <w:rsid w:val="00F952B2"/>
    <w:rsid w:val="00F95C81"/>
    <w:rsid w:val="00FA052D"/>
    <w:rsid w:val="00FA16C7"/>
    <w:rsid w:val="00FA2501"/>
    <w:rsid w:val="00FA3553"/>
    <w:rsid w:val="00FA3C43"/>
    <w:rsid w:val="00FA42AA"/>
    <w:rsid w:val="00FA47E4"/>
    <w:rsid w:val="00FA5B5D"/>
    <w:rsid w:val="00FB482A"/>
    <w:rsid w:val="00FB6AAE"/>
    <w:rsid w:val="00FB7AE2"/>
    <w:rsid w:val="00FC2041"/>
    <w:rsid w:val="00FC272D"/>
    <w:rsid w:val="00FC6C5A"/>
    <w:rsid w:val="00FC79DF"/>
    <w:rsid w:val="00FD5254"/>
    <w:rsid w:val="00FD6DD6"/>
    <w:rsid w:val="00FD7AA5"/>
    <w:rsid w:val="00FE0AFF"/>
    <w:rsid w:val="00FE10F0"/>
    <w:rsid w:val="00FE7654"/>
    <w:rsid w:val="00FF2F2E"/>
    <w:rsid w:val="00FF3591"/>
    <w:rsid w:val="00FF6087"/>
    <w:rsid w:val="00FF6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909998"/>
  <w15:docId w15:val="{FFA8E7D2-03C9-4DD5-B2C5-909AE7C7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DEC"/>
    <w:pPr>
      <w:spacing w:before="120" w:after="60" w:line="264" w:lineRule="auto"/>
      <w:jc w:val="both"/>
    </w:pPr>
    <w:rPr>
      <w:rFonts w:ascii="Arial" w:hAnsi="Arial"/>
      <w:spacing w:val="-2"/>
      <w:sz w:val="20"/>
      <w:szCs w:val="20"/>
    </w:rPr>
  </w:style>
  <w:style w:type="paragraph" w:styleId="berschrift1">
    <w:name w:val="heading 1"/>
    <w:aliases w:val="Überschrift"/>
    <w:basedOn w:val="Standard"/>
    <w:next w:val="Standard"/>
    <w:link w:val="berschrift1Zchn"/>
    <w:autoRedefine/>
    <w:uiPriority w:val="99"/>
    <w:qFormat/>
    <w:rsid w:val="00087DEC"/>
    <w:pPr>
      <w:keepNext/>
      <w:tabs>
        <w:tab w:val="left" w:pos="567"/>
      </w:tabs>
      <w:ind w:left="567" w:hanging="567"/>
      <w:outlineLvl w:val="0"/>
    </w:pPr>
    <w:rPr>
      <w:rFonts w:cs="Arial"/>
      <w:b/>
      <w:sz w:val="22"/>
      <w:szCs w:val="22"/>
    </w:rPr>
  </w:style>
  <w:style w:type="paragraph" w:styleId="berschrift2">
    <w:name w:val="heading 2"/>
    <w:basedOn w:val="Standard"/>
    <w:next w:val="Standard"/>
    <w:link w:val="berschrift2Zchn"/>
    <w:autoRedefine/>
    <w:uiPriority w:val="99"/>
    <w:qFormat/>
    <w:rsid w:val="00087DEC"/>
    <w:pPr>
      <w:keepNext/>
      <w:tabs>
        <w:tab w:val="left" w:pos="567"/>
        <w:tab w:val="left" w:pos="5529"/>
      </w:tabs>
      <w:spacing w:before="360" w:after="240"/>
      <w:ind w:left="567" w:hanging="567"/>
      <w:outlineLvl w:val="1"/>
    </w:pPr>
    <w:rPr>
      <w:rFonts w:ascii="Cambria" w:hAnsi="Cambria"/>
      <w:b/>
      <w:bCs/>
      <w:i/>
      <w:iCs/>
      <w:sz w:val="28"/>
      <w:szCs w:val="28"/>
    </w:rPr>
  </w:style>
  <w:style w:type="paragraph" w:styleId="berschrift3">
    <w:name w:val="heading 3"/>
    <w:basedOn w:val="Standard"/>
    <w:next w:val="Standard"/>
    <w:link w:val="berschrift3Zchn"/>
    <w:autoRedefine/>
    <w:uiPriority w:val="99"/>
    <w:qFormat/>
    <w:rsid w:val="007E1CE2"/>
    <w:pPr>
      <w:keepNext/>
      <w:tabs>
        <w:tab w:val="left" w:pos="567"/>
      </w:tabs>
      <w:spacing w:before="60" w:after="120" w:line="240" w:lineRule="auto"/>
      <w:outlineLvl w:val="2"/>
    </w:pPr>
    <w:rPr>
      <w:rFonts w:cs="Arial"/>
      <w:b/>
      <w:bCs/>
      <w:sz w:val="24"/>
      <w:szCs w:val="24"/>
    </w:rPr>
  </w:style>
  <w:style w:type="paragraph" w:styleId="berschrift4">
    <w:name w:val="heading 4"/>
    <w:basedOn w:val="Standard"/>
    <w:next w:val="Standard"/>
    <w:link w:val="berschrift4Zchn"/>
    <w:uiPriority w:val="99"/>
    <w:qFormat/>
    <w:rsid w:val="00087DEC"/>
    <w:pPr>
      <w:keepNext/>
      <w:numPr>
        <w:ilvl w:val="3"/>
        <w:numId w:val="1"/>
      </w:numPr>
      <w:spacing w:before="240"/>
      <w:outlineLvl w:val="3"/>
    </w:pPr>
    <w:rPr>
      <w:rFonts w:ascii="Calibri" w:hAnsi="Calibri"/>
      <w:b/>
      <w:bCs/>
      <w:sz w:val="28"/>
      <w:szCs w:val="28"/>
    </w:rPr>
  </w:style>
  <w:style w:type="paragraph" w:styleId="berschrift5">
    <w:name w:val="heading 5"/>
    <w:basedOn w:val="Standard"/>
    <w:next w:val="Standard"/>
    <w:link w:val="berschrift5Zchn"/>
    <w:uiPriority w:val="99"/>
    <w:qFormat/>
    <w:rsid w:val="00087DEC"/>
    <w:pPr>
      <w:numPr>
        <w:ilvl w:val="4"/>
        <w:numId w:val="1"/>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087DEC"/>
    <w:pPr>
      <w:numPr>
        <w:ilvl w:val="5"/>
        <w:numId w:val="1"/>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087DEC"/>
    <w:pPr>
      <w:numPr>
        <w:ilvl w:val="6"/>
        <w:numId w:val="1"/>
      </w:numPr>
      <w:spacing w:before="240"/>
      <w:outlineLvl w:val="6"/>
    </w:pPr>
    <w:rPr>
      <w:rFonts w:ascii="Calibri" w:hAnsi="Calibri"/>
      <w:sz w:val="24"/>
      <w:szCs w:val="24"/>
    </w:rPr>
  </w:style>
  <w:style w:type="paragraph" w:styleId="berschrift8">
    <w:name w:val="heading 8"/>
    <w:basedOn w:val="Standard"/>
    <w:next w:val="Standard"/>
    <w:link w:val="berschrift8Zchn"/>
    <w:uiPriority w:val="99"/>
    <w:qFormat/>
    <w:rsid w:val="00087DEC"/>
    <w:pPr>
      <w:numPr>
        <w:ilvl w:val="7"/>
        <w:numId w:val="1"/>
      </w:numPr>
      <w:spacing w:before="240"/>
      <w:outlineLvl w:val="7"/>
    </w:pPr>
    <w:rPr>
      <w:rFonts w:ascii="Calibri" w:hAnsi="Calibri"/>
      <w:i/>
      <w:iCs/>
      <w:sz w:val="24"/>
      <w:szCs w:val="24"/>
    </w:rPr>
  </w:style>
  <w:style w:type="paragraph" w:styleId="berschrift9">
    <w:name w:val="heading 9"/>
    <w:basedOn w:val="Standard"/>
    <w:next w:val="Standard"/>
    <w:link w:val="berschrift9Zchn"/>
    <w:uiPriority w:val="99"/>
    <w:qFormat/>
    <w:rsid w:val="00087DEC"/>
    <w:pPr>
      <w:numPr>
        <w:ilvl w:val="8"/>
        <w:numId w:val="1"/>
      </w:numPr>
      <w:spacing w:before="24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9"/>
    <w:rsid w:val="00087DEC"/>
    <w:rPr>
      <w:rFonts w:ascii="Arial" w:hAnsi="Arial" w:cs="Arial"/>
      <w:b/>
      <w:spacing w:val="-2"/>
    </w:rPr>
  </w:style>
  <w:style w:type="character" w:customStyle="1" w:styleId="berschrift2Zchn">
    <w:name w:val="Überschrift 2 Zchn"/>
    <w:basedOn w:val="Absatz-Standardschriftart"/>
    <w:link w:val="berschrift2"/>
    <w:uiPriority w:val="99"/>
    <w:rsid w:val="00087DEC"/>
    <w:rPr>
      <w:rFonts w:ascii="Cambria" w:hAnsi="Cambria" w:cs="Times New Roman"/>
      <w:b/>
      <w:bCs/>
      <w:i/>
      <w:iCs/>
      <w:spacing w:val="-2"/>
      <w:sz w:val="28"/>
      <w:szCs w:val="28"/>
    </w:rPr>
  </w:style>
  <w:style w:type="character" w:customStyle="1" w:styleId="berschrift3Zchn">
    <w:name w:val="Überschrift 3 Zchn"/>
    <w:basedOn w:val="Absatz-Standardschriftart"/>
    <w:link w:val="berschrift3"/>
    <w:uiPriority w:val="99"/>
    <w:rsid w:val="007E1CE2"/>
    <w:rPr>
      <w:rFonts w:ascii="Arial" w:hAnsi="Arial" w:cs="Arial"/>
      <w:b/>
      <w:bCs/>
      <w:spacing w:val="-2"/>
      <w:sz w:val="24"/>
      <w:szCs w:val="24"/>
    </w:rPr>
  </w:style>
  <w:style w:type="character" w:customStyle="1" w:styleId="berschrift4Zchn">
    <w:name w:val="Überschrift 4 Zchn"/>
    <w:basedOn w:val="Absatz-Standardschriftart"/>
    <w:link w:val="berschrift4"/>
    <w:uiPriority w:val="99"/>
    <w:rsid w:val="00087DEC"/>
    <w:rPr>
      <w:rFonts w:ascii="Calibri" w:hAnsi="Calibri"/>
      <w:b/>
      <w:bCs/>
      <w:spacing w:val="-2"/>
      <w:sz w:val="28"/>
      <w:szCs w:val="28"/>
    </w:rPr>
  </w:style>
  <w:style w:type="character" w:customStyle="1" w:styleId="berschrift5Zchn">
    <w:name w:val="Überschrift 5 Zchn"/>
    <w:basedOn w:val="Absatz-Standardschriftart"/>
    <w:link w:val="berschrift5"/>
    <w:uiPriority w:val="99"/>
    <w:rsid w:val="00087DEC"/>
    <w:rPr>
      <w:rFonts w:ascii="Calibri" w:hAnsi="Calibri"/>
      <w:b/>
      <w:bCs/>
      <w:i/>
      <w:iCs/>
      <w:spacing w:val="-2"/>
      <w:sz w:val="26"/>
      <w:szCs w:val="26"/>
    </w:rPr>
  </w:style>
  <w:style w:type="character" w:customStyle="1" w:styleId="berschrift6Zchn">
    <w:name w:val="Überschrift 6 Zchn"/>
    <w:basedOn w:val="Absatz-Standardschriftart"/>
    <w:link w:val="berschrift6"/>
    <w:uiPriority w:val="99"/>
    <w:rsid w:val="00087DEC"/>
    <w:rPr>
      <w:rFonts w:ascii="Calibri" w:hAnsi="Calibri"/>
      <w:b/>
      <w:bCs/>
      <w:spacing w:val="-2"/>
    </w:rPr>
  </w:style>
  <w:style w:type="character" w:customStyle="1" w:styleId="berschrift7Zchn">
    <w:name w:val="Überschrift 7 Zchn"/>
    <w:basedOn w:val="Absatz-Standardschriftart"/>
    <w:link w:val="berschrift7"/>
    <w:uiPriority w:val="99"/>
    <w:rsid w:val="00087DEC"/>
    <w:rPr>
      <w:rFonts w:ascii="Calibri" w:hAnsi="Calibri"/>
      <w:spacing w:val="-2"/>
      <w:sz w:val="24"/>
      <w:szCs w:val="24"/>
    </w:rPr>
  </w:style>
  <w:style w:type="character" w:customStyle="1" w:styleId="berschrift8Zchn">
    <w:name w:val="Überschrift 8 Zchn"/>
    <w:basedOn w:val="Absatz-Standardschriftart"/>
    <w:link w:val="berschrift8"/>
    <w:uiPriority w:val="99"/>
    <w:rsid w:val="00087DEC"/>
    <w:rPr>
      <w:rFonts w:ascii="Calibri" w:hAnsi="Calibri"/>
      <w:i/>
      <w:iCs/>
      <w:spacing w:val="-2"/>
      <w:sz w:val="24"/>
      <w:szCs w:val="24"/>
    </w:rPr>
  </w:style>
  <w:style w:type="character" w:customStyle="1" w:styleId="berschrift9Zchn">
    <w:name w:val="Überschrift 9 Zchn"/>
    <w:basedOn w:val="Absatz-Standardschriftart"/>
    <w:link w:val="berschrift9"/>
    <w:uiPriority w:val="99"/>
    <w:rsid w:val="00087DEC"/>
    <w:rPr>
      <w:rFonts w:ascii="Cambria" w:hAnsi="Cambria"/>
      <w:spacing w:val="-2"/>
    </w:rPr>
  </w:style>
  <w:style w:type="paragraph" w:styleId="Beschriftung">
    <w:name w:val="caption"/>
    <w:aliases w:val="Tabelle"/>
    <w:basedOn w:val="Standard"/>
    <w:next w:val="Standard"/>
    <w:link w:val="BeschriftungZchn"/>
    <w:autoRedefine/>
    <w:uiPriority w:val="99"/>
    <w:qFormat/>
    <w:rsid w:val="00087DEC"/>
    <w:pPr>
      <w:keepNext/>
    </w:pPr>
    <w:rPr>
      <w:b/>
      <w:sz w:val="18"/>
      <w:szCs w:val="22"/>
    </w:rPr>
  </w:style>
  <w:style w:type="character" w:customStyle="1" w:styleId="BeschriftungZchn">
    <w:name w:val="Beschriftung Zchn"/>
    <w:aliases w:val="Tabelle Zchn"/>
    <w:link w:val="Beschriftung"/>
    <w:uiPriority w:val="99"/>
    <w:rsid w:val="00087DEC"/>
    <w:rPr>
      <w:rFonts w:ascii="Arial" w:hAnsi="Arial"/>
      <w:b/>
      <w:spacing w:val="-2"/>
      <w:sz w:val="18"/>
    </w:rPr>
  </w:style>
  <w:style w:type="character" w:styleId="Fett">
    <w:name w:val="Strong"/>
    <w:basedOn w:val="Absatz-Standardschriftart"/>
    <w:uiPriority w:val="99"/>
    <w:qFormat/>
    <w:rsid w:val="00087DEC"/>
    <w:rPr>
      <w:rFonts w:cs="Times New Roman"/>
      <w:b/>
    </w:rPr>
  </w:style>
  <w:style w:type="character" w:styleId="Hervorhebung">
    <w:name w:val="Emphasis"/>
    <w:basedOn w:val="Absatz-Standardschriftart"/>
    <w:uiPriority w:val="99"/>
    <w:qFormat/>
    <w:rsid w:val="00087DEC"/>
    <w:rPr>
      <w:rFonts w:cs="Times New Roman"/>
      <w:b/>
      <w:color w:val="314E2C"/>
    </w:rPr>
  </w:style>
  <w:style w:type="paragraph" w:styleId="KeinLeerraum">
    <w:name w:val="No Spacing"/>
    <w:uiPriority w:val="99"/>
    <w:qFormat/>
    <w:rsid w:val="00087DEC"/>
    <w:rPr>
      <w:rFonts w:eastAsiaTheme="minorHAnsi" w:cstheme="minorBidi"/>
      <w:lang w:eastAsia="en-US"/>
    </w:rPr>
  </w:style>
  <w:style w:type="paragraph" w:styleId="Listenabsatz">
    <w:name w:val="List Paragraph"/>
    <w:basedOn w:val="Standard"/>
    <w:uiPriority w:val="99"/>
    <w:qFormat/>
    <w:rsid w:val="00087DEC"/>
    <w:pPr>
      <w:ind w:left="720"/>
      <w:contextualSpacing/>
    </w:pPr>
  </w:style>
  <w:style w:type="character" w:styleId="Hyperlink">
    <w:name w:val="Hyperlink"/>
    <w:basedOn w:val="Absatz-Standardschriftart"/>
    <w:uiPriority w:val="99"/>
    <w:unhideWhenUsed/>
    <w:rsid w:val="009B5445"/>
    <w:rPr>
      <w:color w:val="0000FF" w:themeColor="hyperlink"/>
      <w:u w:val="single"/>
    </w:rPr>
  </w:style>
  <w:style w:type="paragraph" w:styleId="Kopfzeile">
    <w:name w:val="header"/>
    <w:basedOn w:val="Standard"/>
    <w:link w:val="KopfzeileZchn"/>
    <w:uiPriority w:val="99"/>
    <w:semiHidden/>
    <w:unhideWhenUsed/>
    <w:rsid w:val="005452B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emiHidden/>
    <w:rsid w:val="005452B4"/>
    <w:rPr>
      <w:rFonts w:ascii="Arial" w:hAnsi="Arial"/>
      <w:spacing w:val="-2"/>
      <w:sz w:val="20"/>
      <w:szCs w:val="20"/>
    </w:rPr>
  </w:style>
  <w:style w:type="paragraph" w:styleId="Fuzeile">
    <w:name w:val="footer"/>
    <w:basedOn w:val="Standard"/>
    <w:link w:val="FuzeileZchn"/>
    <w:uiPriority w:val="99"/>
    <w:unhideWhenUsed/>
    <w:rsid w:val="005452B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452B4"/>
    <w:rPr>
      <w:rFonts w:ascii="Arial" w:hAnsi="Arial"/>
      <w:spacing w:val="-2"/>
      <w:sz w:val="20"/>
      <w:szCs w:val="20"/>
    </w:rPr>
  </w:style>
  <w:style w:type="paragraph" w:styleId="Sprechblasentext">
    <w:name w:val="Balloon Text"/>
    <w:basedOn w:val="Standard"/>
    <w:link w:val="SprechblasentextZchn"/>
    <w:uiPriority w:val="99"/>
    <w:semiHidden/>
    <w:unhideWhenUsed/>
    <w:rsid w:val="005452B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2B4"/>
    <w:rPr>
      <w:rFonts w:ascii="Tahoma" w:hAnsi="Tahoma" w:cs="Tahoma"/>
      <w:spacing w:val="-2"/>
      <w:sz w:val="16"/>
      <w:szCs w:val="16"/>
    </w:rPr>
  </w:style>
  <w:style w:type="paragraph" w:styleId="Textkrper2">
    <w:name w:val="Body Text 2"/>
    <w:basedOn w:val="Standard"/>
    <w:link w:val="Textkrper2Zchn"/>
    <w:semiHidden/>
    <w:rsid w:val="00FA052D"/>
    <w:pPr>
      <w:tabs>
        <w:tab w:val="left" w:pos="2268"/>
      </w:tabs>
      <w:spacing w:after="0" w:line="240" w:lineRule="auto"/>
    </w:pPr>
    <w:rPr>
      <w:spacing w:val="0"/>
      <w:sz w:val="22"/>
    </w:rPr>
  </w:style>
  <w:style w:type="character" w:customStyle="1" w:styleId="Textkrper2Zchn">
    <w:name w:val="Textkörper 2 Zchn"/>
    <w:basedOn w:val="Absatz-Standardschriftart"/>
    <w:link w:val="Textkrper2"/>
    <w:semiHidden/>
    <w:rsid w:val="00FA052D"/>
    <w:rPr>
      <w:rFonts w:ascii="Arial" w:hAnsi="Arial"/>
      <w:szCs w:val="20"/>
    </w:rPr>
  </w:style>
  <w:style w:type="paragraph" w:customStyle="1" w:styleId="Zitate">
    <w:name w:val="Zitate"/>
    <w:basedOn w:val="Standard"/>
    <w:qFormat/>
    <w:rsid w:val="00770685"/>
    <w:pPr>
      <w:tabs>
        <w:tab w:val="left" w:pos="851"/>
      </w:tabs>
      <w:spacing w:before="0" w:line="240" w:lineRule="auto"/>
      <w:ind w:left="567" w:hanging="567"/>
    </w:pPr>
    <w:rPr>
      <w:rFonts w:cs="Arial"/>
      <w:spacing w:val="0"/>
      <w:sz w:val="22"/>
    </w:rPr>
  </w:style>
  <w:style w:type="table" w:styleId="Tabellenraster">
    <w:name w:val="Table Grid"/>
    <w:basedOn w:val="NormaleTabelle"/>
    <w:uiPriority w:val="59"/>
    <w:rsid w:val="005C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A67F8"/>
    <w:pPr>
      <w:spacing w:before="100" w:beforeAutospacing="1" w:after="100" w:afterAutospacing="1" w:line="240" w:lineRule="auto"/>
      <w:jc w:val="left"/>
    </w:pPr>
    <w:rPr>
      <w:rFonts w:ascii="Times New Roman" w:hAnsi="Times New Roman"/>
      <w:spacing w:val="0"/>
      <w:sz w:val="24"/>
      <w:szCs w:val="24"/>
    </w:rPr>
  </w:style>
  <w:style w:type="character" w:styleId="Kommentarzeichen">
    <w:name w:val="annotation reference"/>
    <w:basedOn w:val="Absatz-Standardschriftart"/>
    <w:uiPriority w:val="99"/>
    <w:semiHidden/>
    <w:unhideWhenUsed/>
    <w:rsid w:val="00AA58E4"/>
    <w:rPr>
      <w:sz w:val="16"/>
      <w:szCs w:val="16"/>
    </w:rPr>
  </w:style>
  <w:style w:type="paragraph" w:styleId="Kommentartext">
    <w:name w:val="annotation text"/>
    <w:basedOn w:val="Standard"/>
    <w:link w:val="KommentartextZchn"/>
    <w:uiPriority w:val="99"/>
    <w:semiHidden/>
    <w:unhideWhenUsed/>
    <w:rsid w:val="00AA58E4"/>
    <w:pPr>
      <w:spacing w:line="240" w:lineRule="auto"/>
    </w:pPr>
  </w:style>
  <w:style w:type="character" w:customStyle="1" w:styleId="KommentartextZchn">
    <w:name w:val="Kommentartext Zchn"/>
    <w:basedOn w:val="Absatz-Standardschriftart"/>
    <w:link w:val="Kommentartext"/>
    <w:uiPriority w:val="99"/>
    <w:semiHidden/>
    <w:rsid w:val="00AA58E4"/>
    <w:rPr>
      <w:rFonts w:ascii="Arial" w:hAnsi="Arial"/>
      <w:spacing w:val="-2"/>
      <w:sz w:val="20"/>
      <w:szCs w:val="20"/>
    </w:rPr>
  </w:style>
  <w:style w:type="paragraph" w:styleId="Kommentarthema">
    <w:name w:val="annotation subject"/>
    <w:basedOn w:val="Kommentartext"/>
    <w:next w:val="Kommentartext"/>
    <w:link w:val="KommentarthemaZchn"/>
    <w:uiPriority w:val="99"/>
    <w:semiHidden/>
    <w:unhideWhenUsed/>
    <w:rsid w:val="00AA58E4"/>
    <w:rPr>
      <w:b/>
      <w:bCs/>
    </w:rPr>
  </w:style>
  <w:style w:type="character" w:customStyle="1" w:styleId="KommentarthemaZchn">
    <w:name w:val="Kommentarthema Zchn"/>
    <w:basedOn w:val="KommentartextZchn"/>
    <w:link w:val="Kommentarthema"/>
    <w:uiPriority w:val="99"/>
    <w:semiHidden/>
    <w:rsid w:val="00AA58E4"/>
    <w:rPr>
      <w:rFonts w:ascii="Arial" w:hAnsi="Arial"/>
      <w:b/>
      <w:bCs/>
      <w:spacing w:val="-2"/>
      <w:sz w:val="20"/>
      <w:szCs w:val="20"/>
    </w:rPr>
  </w:style>
  <w:style w:type="paragraph" w:customStyle="1" w:styleId="Formatvorlage1">
    <w:name w:val="Formatvorlage1"/>
    <w:basedOn w:val="Standard"/>
    <w:qFormat/>
    <w:rsid w:val="00A545EC"/>
    <w:pPr>
      <w:tabs>
        <w:tab w:val="left" w:pos="851"/>
      </w:tabs>
      <w:spacing w:before="0" w:line="240" w:lineRule="auto"/>
      <w:ind w:left="567" w:hanging="567"/>
    </w:pPr>
    <w:rPr>
      <w:rFonts w:cs="Arial"/>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3139">
      <w:bodyDiv w:val="1"/>
      <w:marLeft w:val="0"/>
      <w:marRight w:val="0"/>
      <w:marTop w:val="0"/>
      <w:marBottom w:val="0"/>
      <w:divBdr>
        <w:top w:val="none" w:sz="0" w:space="0" w:color="auto"/>
        <w:left w:val="none" w:sz="0" w:space="0" w:color="auto"/>
        <w:bottom w:val="none" w:sz="0" w:space="0" w:color="auto"/>
        <w:right w:val="none" w:sz="0" w:space="0" w:color="auto"/>
      </w:divBdr>
    </w:div>
    <w:div w:id="189415837">
      <w:bodyDiv w:val="1"/>
      <w:marLeft w:val="0"/>
      <w:marRight w:val="0"/>
      <w:marTop w:val="0"/>
      <w:marBottom w:val="0"/>
      <w:divBdr>
        <w:top w:val="none" w:sz="0" w:space="0" w:color="auto"/>
        <w:left w:val="none" w:sz="0" w:space="0" w:color="auto"/>
        <w:bottom w:val="none" w:sz="0" w:space="0" w:color="auto"/>
        <w:right w:val="none" w:sz="0" w:space="0" w:color="auto"/>
      </w:divBdr>
    </w:div>
    <w:div w:id="298189624">
      <w:bodyDiv w:val="1"/>
      <w:marLeft w:val="0"/>
      <w:marRight w:val="0"/>
      <w:marTop w:val="0"/>
      <w:marBottom w:val="0"/>
      <w:divBdr>
        <w:top w:val="none" w:sz="0" w:space="0" w:color="auto"/>
        <w:left w:val="none" w:sz="0" w:space="0" w:color="auto"/>
        <w:bottom w:val="none" w:sz="0" w:space="0" w:color="auto"/>
        <w:right w:val="none" w:sz="0" w:space="0" w:color="auto"/>
      </w:divBdr>
    </w:div>
    <w:div w:id="454446585">
      <w:bodyDiv w:val="1"/>
      <w:marLeft w:val="0"/>
      <w:marRight w:val="0"/>
      <w:marTop w:val="0"/>
      <w:marBottom w:val="0"/>
      <w:divBdr>
        <w:top w:val="none" w:sz="0" w:space="0" w:color="auto"/>
        <w:left w:val="none" w:sz="0" w:space="0" w:color="auto"/>
        <w:bottom w:val="none" w:sz="0" w:space="0" w:color="auto"/>
        <w:right w:val="none" w:sz="0" w:space="0" w:color="auto"/>
      </w:divBdr>
    </w:div>
    <w:div w:id="13438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bges.de"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14703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tauchnitz</dc:creator>
  <cp:lastModifiedBy>Tauchnitz, Nadine</cp:lastModifiedBy>
  <cp:revision>69</cp:revision>
  <cp:lastPrinted>2019-10-24T12:30:00Z</cp:lastPrinted>
  <dcterms:created xsi:type="dcterms:W3CDTF">2019-10-24T06:58:00Z</dcterms:created>
  <dcterms:modified xsi:type="dcterms:W3CDTF">2019-10-24T12:34:00Z</dcterms:modified>
</cp:coreProperties>
</file>