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Look w:val="04A0"/>
      </w:tblPr>
      <w:tblGrid>
        <w:gridCol w:w="4746"/>
      </w:tblGrid>
      <w:tr w:rsidR="00EA31E7" w:rsidTr="00EA31E7">
        <w:tc>
          <w:tcPr>
            <w:tcW w:w="4746" w:type="dxa"/>
          </w:tcPr>
          <w:p w:rsidR="006444F5" w:rsidRDefault="00EA31E7" w:rsidP="00EA31E7">
            <w:pPr>
              <w:jc w:val="left"/>
              <w:rPr>
                <w:szCs w:val="24"/>
              </w:rPr>
            </w:pPr>
            <w:r w:rsidRPr="00EA31E7">
              <w:rPr>
                <w:szCs w:val="24"/>
              </w:rPr>
              <w:t xml:space="preserve">Tagungsbeitrag zu: </w:t>
            </w:r>
          </w:p>
          <w:p w:rsidR="00EA31E7" w:rsidRPr="00EA31E7" w:rsidRDefault="00EA31E7" w:rsidP="00EA31E7">
            <w:pPr>
              <w:jc w:val="left"/>
              <w:rPr>
                <w:szCs w:val="24"/>
              </w:rPr>
            </w:pPr>
            <w:r w:rsidRPr="00EA31E7">
              <w:rPr>
                <w:szCs w:val="24"/>
              </w:rPr>
              <w:t>Jahrestagung der DBG, Kommission II</w:t>
            </w:r>
          </w:p>
          <w:p w:rsidR="006444F5" w:rsidRDefault="00EA31E7" w:rsidP="00EA31E7">
            <w:pPr>
              <w:jc w:val="left"/>
              <w:rPr>
                <w:szCs w:val="24"/>
              </w:rPr>
            </w:pPr>
            <w:r w:rsidRPr="00EA31E7">
              <w:rPr>
                <w:szCs w:val="24"/>
              </w:rPr>
              <w:t xml:space="preserve">Titel der Tagung: </w:t>
            </w:r>
          </w:p>
          <w:p w:rsidR="00EA31E7" w:rsidRPr="00EA31E7" w:rsidRDefault="00EA31E7" w:rsidP="00EA31E7">
            <w:pPr>
              <w:jc w:val="left"/>
              <w:rPr>
                <w:szCs w:val="24"/>
              </w:rPr>
            </w:pPr>
            <w:r w:rsidRPr="00EA31E7">
              <w:rPr>
                <w:szCs w:val="24"/>
              </w:rPr>
              <w:t>Unsere Böden – Unser Leben</w:t>
            </w:r>
          </w:p>
          <w:p w:rsidR="006444F5" w:rsidRDefault="00EA31E7" w:rsidP="00EA31E7">
            <w:pPr>
              <w:jc w:val="left"/>
              <w:rPr>
                <w:szCs w:val="24"/>
              </w:rPr>
            </w:pPr>
            <w:r w:rsidRPr="00EA31E7">
              <w:rPr>
                <w:szCs w:val="24"/>
              </w:rPr>
              <w:t xml:space="preserve">Veranstalter: </w:t>
            </w:r>
          </w:p>
          <w:p w:rsidR="006444F5" w:rsidRDefault="006444F5" w:rsidP="00EA31E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DBG</w:t>
            </w:r>
          </w:p>
          <w:p w:rsidR="006444F5" w:rsidRDefault="006444F5" w:rsidP="00EA31E7">
            <w:pPr>
              <w:jc w:val="left"/>
              <w:rPr>
                <w:szCs w:val="24"/>
              </w:rPr>
            </w:pPr>
            <w:r w:rsidRPr="006444F5">
              <w:rPr>
                <w:szCs w:val="24"/>
              </w:rPr>
              <w:t>Termin und Ort der Tagung:</w:t>
            </w:r>
          </w:p>
          <w:p w:rsidR="00EA31E7" w:rsidRPr="00EA31E7" w:rsidRDefault="00EA31E7" w:rsidP="00EA31E7">
            <w:pPr>
              <w:jc w:val="left"/>
              <w:rPr>
                <w:szCs w:val="24"/>
              </w:rPr>
            </w:pPr>
            <w:r w:rsidRPr="00EA31E7">
              <w:rPr>
                <w:szCs w:val="24"/>
              </w:rPr>
              <w:t>5.-10.9.2015, Mü</w:t>
            </w:r>
            <w:r w:rsidR="00705771">
              <w:rPr>
                <w:szCs w:val="24"/>
              </w:rPr>
              <w:t>n</w:t>
            </w:r>
            <w:r w:rsidRPr="00EA31E7">
              <w:rPr>
                <w:szCs w:val="24"/>
              </w:rPr>
              <w:t>chen</w:t>
            </w:r>
          </w:p>
          <w:p w:rsidR="00EA31E7" w:rsidRPr="00EA31E7" w:rsidRDefault="00EA31E7" w:rsidP="00EA31E7">
            <w:pPr>
              <w:jc w:val="left"/>
              <w:rPr>
                <w:szCs w:val="24"/>
              </w:rPr>
            </w:pPr>
            <w:r w:rsidRPr="00EA31E7">
              <w:rPr>
                <w:szCs w:val="24"/>
              </w:rPr>
              <w:t xml:space="preserve">Berichte der DBG (nicht begutachtete </w:t>
            </w:r>
            <w:r w:rsidR="00705771">
              <w:rPr>
                <w:szCs w:val="24"/>
              </w:rPr>
              <w:br/>
            </w:r>
            <w:r w:rsidRPr="00EA31E7">
              <w:rPr>
                <w:szCs w:val="24"/>
              </w:rPr>
              <w:t>online Publikation)</w:t>
            </w:r>
          </w:p>
          <w:p w:rsidR="00EA31E7" w:rsidRDefault="00D03F27" w:rsidP="00EA31E7">
            <w:pPr>
              <w:jc w:val="left"/>
            </w:pPr>
            <w:hyperlink r:id="rId8" w:history="1">
              <w:r w:rsidR="00EA31E7" w:rsidRPr="00EA31E7">
                <w:rPr>
                  <w:rStyle w:val="Hyperlink"/>
                  <w:szCs w:val="24"/>
                </w:rPr>
                <w:t>http://www.dbges.de</w:t>
              </w:r>
            </w:hyperlink>
          </w:p>
        </w:tc>
      </w:tr>
    </w:tbl>
    <w:p w:rsidR="00EA31E7" w:rsidRDefault="00EA31E7" w:rsidP="00EA31E7">
      <w:pPr>
        <w:jc w:val="left"/>
      </w:pPr>
    </w:p>
    <w:p w:rsidR="00A365FE" w:rsidRPr="00A365FE" w:rsidRDefault="00A365FE" w:rsidP="00A365FE">
      <w:pPr>
        <w:pStyle w:val="berschrift1"/>
        <w:spacing w:before="0" w:after="200"/>
        <w:jc w:val="left"/>
      </w:pPr>
      <w:r w:rsidRPr="00A365FE">
        <w:t>Einflüsse der Harmonisierung</w:t>
      </w:r>
      <w:r w:rsidRPr="00A365FE">
        <w:t>s</w:t>
      </w:r>
      <w:r w:rsidRPr="00A365FE">
        <w:t>methoden und Unsicherheiten bei der Ableitung von Hintergrun</w:t>
      </w:r>
      <w:r w:rsidRPr="00A365FE">
        <w:t>d</w:t>
      </w:r>
      <w:r w:rsidRPr="00A365FE">
        <w:t>werten für anorganische Spure</w:t>
      </w:r>
      <w:r w:rsidRPr="00A365FE">
        <w:t>n</w:t>
      </w:r>
      <w:r w:rsidRPr="00A365FE">
        <w:t>stoffe in Böden</w:t>
      </w:r>
    </w:p>
    <w:p w:rsidR="00A365FE" w:rsidRPr="00AD4E53" w:rsidRDefault="00A365FE" w:rsidP="00A365FE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szCs w:val="24"/>
        </w:rPr>
      </w:pPr>
      <w:r>
        <w:rPr>
          <w:rFonts w:ascii="Helvetica-Oblique" w:hAnsi="Helvetica-Oblique" w:cs="Helvetica-Oblique"/>
          <w:i/>
          <w:iCs/>
          <w:szCs w:val="24"/>
        </w:rPr>
        <w:t xml:space="preserve">Claus Florian </w:t>
      </w:r>
      <w:r w:rsidRPr="00AD4E53">
        <w:rPr>
          <w:rFonts w:ascii="Helvetica-Oblique" w:hAnsi="Helvetica-Oblique" w:cs="Helvetica-Oblique"/>
          <w:i/>
          <w:iCs/>
          <w:szCs w:val="24"/>
        </w:rPr>
        <w:t>Stange</w:t>
      </w:r>
      <w:r>
        <w:rPr>
          <w:rStyle w:val="Funotenzeichen"/>
          <w:i/>
        </w:rPr>
        <w:footnoteReference w:id="2"/>
      </w:r>
      <w:r w:rsidRPr="008D5AAC">
        <w:rPr>
          <w:i/>
          <w:vertAlign w:val="superscript"/>
        </w:rPr>
        <w:t>,*</w:t>
      </w:r>
      <w:r w:rsidRPr="00AD4E53">
        <w:rPr>
          <w:rFonts w:ascii="Helvetica-Oblique" w:hAnsi="Helvetica-Oblique" w:cs="Helvetica-Oblique"/>
          <w:i/>
          <w:iCs/>
          <w:szCs w:val="24"/>
        </w:rPr>
        <w:t>, Lars Konen</w:t>
      </w:r>
      <w:r w:rsidRPr="0017119D">
        <w:rPr>
          <w:i/>
          <w:vertAlign w:val="superscript"/>
        </w:rPr>
        <w:t>1</w:t>
      </w:r>
      <w:r w:rsidRPr="00AD4E53">
        <w:rPr>
          <w:rFonts w:ascii="Helvetica-Oblique" w:hAnsi="Helvetica-Oblique" w:cs="Helvetica-Oblique"/>
          <w:i/>
          <w:iCs/>
          <w:szCs w:val="24"/>
        </w:rPr>
        <w:t>, Friedrich Krone</w:t>
      </w:r>
      <w:r w:rsidRPr="0017119D">
        <w:rPr>
          <w:i/>
          <w:vertAlign w:val="superscript"/>
        </w:rPr>
        <w:t>1</w:t>
      </w:r>
      <w:r w:rsidRPr="00AD4E53">
        <w:rPr>
          <w:rFonts w:ascii="Helvetica-Oblique" w:hAnsi="Helvetica-Oblique" w:cs="Helvetica-Oblique"/>
          <w:i/>
          <w:iCs/>
          <w:szCs w:val="24"/>
        </w:rPr>
        <w:t xml:space="preserve"> &amp; Wilhelmus Duijnisveld</w:t>
      </w:r>
      <w:r w:rsidRPr="0017119D">
        <w:rPr>
          <w:i/>
          <w:vertAlign w:val="superscript"/>
        </w:rPr>
        <w:t>1</w:t>
      </w:r>
    </w:p>
    <w:p w:rsidR="00A365FE" w:rsidRDefault="00A365FE" w:rsidP="00B654B3">
      <w:pPr>
        <w:keepNext/>
        <w:spacing w:after="120"/>
        <w:rPr>
          <w:b/>
        </w:rPr>
      </w:pPr>
    </w:p>
    <w:p w:rsidR="00EA31E7" w:rsidRPr="00D807C3" w:rsidRDefault="00D807C3" w:rsidP="00B654B3">
      <w:pPr>
        <w:keepNext/>
        <w:spacing w:after="120"/>
        <w:rPr>
          <w:b/>
        </w:rPr>
      </w:pPr>
      <w:r w:rsidRPr="00D807C3">
        <w:rPr>
          <w:b/>
        </w:rPr>
        <w:t>Schlüsselworte</w:t>
      </w:r>
    </w:p>
    <w:p w:rsidR="00EA31E7" w:rsidRPr="00EA31E7" w:rsidRDefault="00604CCD" w:rsidP="00781A97">
      <w:r>
        <w:t xml:space="preserve">Bodenschutz, </w:t>
      </w:r>
      <w:r w:rsidR="00A365FE">
        <w:t>Hintergrundwerte, Boot</w:t>
      </w:r>
      <w:r w:rsidR="00A365FE">
        <w:t>s</w:t>
      </w:r>
      <w:r w:rsidR="00A365FE">
        <w:t xml:space="preserve">trapping, </w:t>
      </w:r>
      <w:r w:rsidR="00DF4B3D">
        <w:t>Bodenb</w:t>
      </w:r>
      <w:r w:rsidR="00A365FE">
        <w:t>ewertung</w:t>
      </w:r>
    </w:p>
    <w:p w:rsidR="000A1DFB" w:rsidRPr="000A1DFB" w:rsidRDefault="000A1DFB" w:rsidP="00301C80">
      <w:pPr>
        <w:keepNext/>
        <w:rPr>
          <w:b/>
        </w:rPr>
      </w:pPr>
      <w:r w:rsidRPr="000A1DFB">
        <w:rPr>
          <w:b/>
        </w:rPr>
        <w:t>Einleitung</w:t>
      </w:r>
    </w:p>
    <w:p w:rsidR="00A365FE" w:rsidRPr="00A365FE" w:rsidRDefault="00A365FE" w:rsidP="00A365FE">
      <w:r w:rsidRPr="00A365FE">
        <w:t>Zur Bewertung der Gehalte von anorgan</w:t>
      </w:r>
      <w:r w:rsidRPr="00A365FE">
        <w:t>i</w:t>
      </w:r>
      <w:r w:rsidRPr="00A365FE">
        <w:t xml:space="preserve">schen Spurenelementen in Böden ist es </w:t>
      </w:r>
      <w:r w:rsidR="000F2388">
        <w:t>sinnvoll</w:t>
      </w:r>
      <w:r w:rsidRPr="00A365FE">
        <w:t>, d</w:t>
      </w:r>
      <w:r w:rsidR="00DF4B3D">
        <w:t>ie</w:t>
      </w:r>
      <w:r w:rsidRPr="00A365FE">
        <w:t xml:space="preserve"> als unbelastet geltenden G</w:t>
      </w:r>
      <w:r w:rsidRPr="00A365FE">
        <w:t>e</w:t>
      </w:r>
      <w:r w:rsidRPr="00A365FE">
        <w:t>halt</w:t>
      </w:r>
      <w:r w:rsidR="00DF4B3D">
        <w:t>e</w:t>
      </w:r>
      <w:r w:rsidRPr="00A365FE">
        <w:t xml:space="preserve"> </w:t>
      </w:r>
      <w:r w:rsidR="000F2388">
        <w:t>heranzuziehen</w:t>
      </w:r>
      <w:r w:rsidRPr="00A365FE">
        <w:t xml:space="preserve">. </w:t>
      </w:r>
      <w:r w:rsidR="000F2388">
        <w:t>Ein entsprechender</w:t>
      </w:r>
      <w:r w:rsidRPr="00A365FE">
        <w:t xml:space="preserve"> Bewertungsrahmen kann durch die Able</w:t>
      </w:r>
      <w:r w:rsidRPr="00A365FE">
        <w:t>i</w:t>
      </w:r>
      <w:r w:rsidRPr="00A365FE">
        <w:t>tung von Hintergrund</w:t>
      </w:r>
      <w:r w:rsidR="000F2388">
        <w:t>werten</w:t>
      </w:r>
      <w:r w:rsidRPr="00A365FE">
        <w:t xml:space="preserve"> für die ve</w:t>
      </w:r>
      <w:r w:rsidRPr="00A365FE">
        <w:t>r</w:t>
      </w:r>
      <w:r w:rsidRPr="00A365FE">
        <w:t>schiedenen Bodenausgangsgesteine und Landnutzungsformen aufgespannt werden. Hintergrundwerte stellen</w:t>
      </w:r>
      <w:r w:rsidR="000F2388">
        <w:t xml:space="preserve"> unter anderem</w:t>
      </w:r>
      <w:r w:rsidRPr="00A365FE">
        <w:t xml:space="preserve"> eine Grundlage für Entscheidungen im vorsorgenden Bodenschutz dar, z. B. für die Vorsorgewe</w:t>
      </w:r>
      <w:r w:rsidR="00665548">
        <w:t xml:space="preserve">rte nach </w:t>
      </w:r>
      <w:proofErr w:type="spellStart"/>
      <w:r w:rsidR="00665548">
        <w:t>BBodSchV</w:t>
      </w:r>
      <w:proofErr w:type="spellEnd"/>
      <w:r w:rsidR="00665548">
        <w:t xml:space="preserve"> und E-</w:t>
      </w:r>
      <w:proofErr w:type="spellStart"/>
      <w:r w:rsidR="00665548">
        <w:t>MantelV</w:t>
      </w:r>
      <w:proofErr w:type="spellEnd"/>
      <w:r w:rsidR="00665548">
        <w:t>.</w:t>
      </w:r>
      <w:r w:rsidR="000F2388">
        <w:t xml:space="preserve"> In den letzten 15 Jahren wurde</w:t>
      </w:r>
      <w:r w:rsidRPr="00A365FE">
        <w:t xml:space="preserve"> ein Konzept entwickelt, mit dem fläche</w:t>
      </w:r>
      <w:r w:rsidRPr="00A365FE">
        <w:t>n</w:t>
      </w:r>
      <w:r w:rsidRPr="00A365FE">
        <w:t>haft repräsentative Hintergrundwerte von Spurenelementen in Böden abgeleitet we</w:t>
      </w:r>
      <w:r w:rsidRPr="00A365FE">
        <w:t>r</w:t>
      </w:r>
      <w:r w:rsidRPr="00A365FE">
        <w:t xml:space="preserve">den können. Da </w:t>
      </w:r>
      <w:r w:rsidR="00B654B3">
        <w:t>viele</w:t>
      </w:r>
      <w:r w:rsidRPr="00A365FE">
        <w:t xml:space="preserve"> Bundesländer </w:t>
      </w:r>
      <w:r w:rsidR="000F2388">
        <w:t>sei</w:t>
      </w:r>
      <w:r w:rsidR="000F2388">
        <w:t>t</w:t>
      </w:r>
      <w:r w:rsidR="000F2388">
        <w:t xml:space="preserve">dem </w:t>
      </w:r>
      <w:r w:rsidRPr="00A365FE">
        <w:t>erhebliche Anstrengungen unte</w:t>
      </w:r>
      <w:r w:rsidRPr="00A365FE">
        <w:t>r</w:t>
      </w:r>
      <w:r w:rsidRPr="00A365FE">
        <w:lastRenderedPageBreak/>
        <w:t xml:space="preserve">nommen </w:t>
      </w:r>
      <w:r w:rsidR="00263B01">
        <w:t>haben</w:t>
      </w:r>
      <w:r w:rsidRPr="00A365FE">
        <w:t>, die Datenlage zu S</w:t>
      </w:r>
      <w:r w:rsidR="00F353F1">
        <w:t>pure</w:t>
      </w:r>
      <w:r w:rsidR="00F353F1">
        <w:t>n</w:t>
      </w:r>
      <w:r w:rsidR="00F353F1">
        <w:t>element</w:t>
      </w:r>
      <w:r w:rsidRPr="00A365FE">
        <w:t xml:space="preserve">konzentrationen im Boden </w:t>
      </w:r>
      <w:r w:rsidR="000F2388">
        <w:t>zu ve</w:t>
      </w:r>
      <w:r w:rsidR="000F2388">
        <w:t>r</w:t>
      </w:r>
      <w:r w:rsidR="000F2388">
        <w:t>bessern</w:t>
      </w:r>
      <w:r w:rsidRPr="00A365FE">
        <w:t xml:space="preserve">, </w:t>
      </w:r>
      <w:r w:rsidR="00665548">
        <w:t>werden zur Zeit</w:t>
      </w:r>
      <w:r w:rsidRPr="00A365FE">
        <w:t xml:space="preserve"> im Rahmen eines vom UBA geförderten Forschungsprojektes auf Basis der aktualisierten Datenlage bundesweite Hintergrundwerte für 16 El</w:t>
      </w:r>
      <w:r w:rsidRPr="00A365FE">
        <w:t>e</w:t>
      </w:r>
      <w:r w:rsidRPr="00A365FE">
        <w:t>mente (</w:t>
      </w:r>
      <w:proofErr w:type="spellStart"/>
      <w:r w:rsidRPr="00A365FE">
        <w:t>Cd</w:t>
      </w:r>
      <w:proofErr w:type="spellEnd"/>
      <w:r w:rsidRPr="00A365FE">
        <w:t xml:space="preserve">, </w:t>
      </w:r>
      <w:proofErr w:type="spellStart"/>
      <w:r w:rsidRPr="00A365FE">
        <w:t>Cr</w:t>
      </w:r>
      <w:proofErr w:type="spellEnd"/>
      <w:r w:rsidRPr="00A365FE">
        <w:t xml:space="preserve">, </w:t>
      </w:r>
      <w:proofErr w:type="spellStart"/>
      <w:r w:rsidRPr="00A365FE">
        <w:t>Cu</w:t>
      </w:r>
      <w:proofErr w:type="spellEnd"/>
      <w:r w:rsidRPr="00A365FE">
        <w:t xml:space="preserve">, </w:t>
      </w:r>
      <w:proofErr w:type="spellStart"/>
      <w:r w:rsidRPr="00A365FE">
        <w:t>Hg</w:t>
      </w:r>
      <w:proofErr w:type="spellEnd"/>
      <w:r w:rsidRPr="00A365FE">
        <w:t xml:space="preserve">, </w:t>
      </w:r>
      <w:proofErr w:type="spellStart"/>
      <w:r w:rsidRPr="00A365FE">
        <w:t>Ni</w:t>
      </w:r>
      <w:proofErr w:type="spellEnd"/>
      <w:r w:rsidRPr="00A365FE">
        <w:t xml:space="preserve">, </w:t>
      </w:r>
      <w:proofErr w:type="spellStart"/>
      <w:r w:rsidRPr="00A365FE">
        <w:t>Pb</w:t>
      </w:r>
      <w:proofErr w:type="spellEnd"/>
      <w:r w:rsidRPr="00A365FE">
        <w:t xml:space="preserve">, </w:t>
      </w:r>
      <w:proofErr w:type="spellStart"/>
      <w:r w:rsidRPr="00A365FE">
        <w:t>Zn</w:t>
      </w:r>
      <w:proofErr w:type="spellEnd"/>
      <w:r w:rsidRPr="00A365FE">
        <w:t xml:space="preserve">, As, </w:t>
      </w:r>
      <w:proofErr w:type="spellStart"/>
      <w:r w:rsidRPr="00A365FE">
        <w:t>Sb</w:t>
      </w:r>
      <w:proofErr w:type="spellEnd"/>
      <w:r w:rsidRPr="00A365FE">
        <w:t xml:space="preserve">, </w:t>
      </w:r>
      <w:proofErr w:type="spellStart"/>
      <w:r w:rsidRPr="00A365FE">
        <w:t>Be</w:t>
      </w:r>
      <w:proofErr w:type="spellEnd"/>
      <w:r w:rsidRPr="00A365FE">
        <w:t xml:space="preserve">, Co, Mo, Se, </w:t>
      </w:r>
      <w:proofErr w:type="spellStart"/>
      <w:r w:rsidRPr="00A365FE">
        <w:t>Tl</w:t>
      </w:r>
      <w:proofErr w:type="spellEnd"/>
      <w:r w:rsidRPr="00A365FE">
        <w:t xml:space="preserve">, U, und V) abgeleitet. </w:t>
      </w:r>
      <w:r w:rsidR="00DF4B3D">
        <w:t xml:space="preserve">Ein </w:t>
      </w:r>
      <w:r w:rsidRPr="00A365FE">
        <w:t>Teil dieses Projekt</w:t>
      </w:r>
      <w:r w:rsidR="00DF4B3D">
        <w:t>es</w:t>
      </w:r>
      <w:r w:rsidRPr="00A365FE">
        <w:t xml:space="preserve"> ist</w:t>
      </w:r>
      <w:r w:rsidR="00DF4B3D">
        <w:t>,</w:t>
      </w:r>
      <w:r w:rsidRPr="00A365FE">
        <w:t xml:space="preserve"> auch die vo</w:t>
      </w:r>
      <w:r w:rsidRPr="00A365FE">
        <w:t>r</w:t>
      </w:r>
      <w:r w:rsidRPr="00A365FE">
        <w:t xml:space="preserve">liegenden methodischen Anforderungen an die Ableitung von Hintergrundwerten für anorganische Stoffe zu überprüfen. </w:t>
      </w:r>
    </w:p>
    <w:p w:rsidR="000A1DFB" w:rsidRDefault="000A1DFB" w:rsidP="00301C80">
      <w:pPr>
        <w:keepNext/>
        <w:rPr>
          <w:b/>
        </w:rPr>
      </w:pPr>
      <w:r w:rsidRPr="000A1DFB">
        <w:rPr>
          <w:b/>
        </w:rPr>
        <w:t>Material und Methoden</w:t>
      </w:r>
    </w:p>
    <w:p w:rsidR="00A365FE" w:rsidRPr="00A365FE" w:rsidRDefault="00A365FE" w:rsidP="00A365FE">
      <w:r w:rsidRPr="00A365FE">
        <w:t xml:space="preserve">Daher wurde ein Vorgehen bestimmt, </w:t>
      </w:r>
      <w:r w:rsidR="00DF4B3D">
        <w:t>mit dem</w:t>
      </w:r>
      <w:r w:rsidR="00DF4B3D" w:rsidRPr="00A365FE">
        <w:t xml:space="preserve"> </w:t>
      </w:r>
      <w:r w:rsidRPr="00A365FE">
        <w:t>die einzelnen Arbeitsschritte zur A</w:t>
      </w:r>
      <w:r w:rsidRPr="00A365FE">
        <w:t>b</w:t>
      </w:r>
      <w:r w:rsidRPr="00A365FE">
        <w:t>leitung von Hintergrundwerten (z.</w:t>
      </w:r>
      <w:r w:rsidR="00DF4B3D">
        <w:t xml:space="preserve"> </w:t>
      </w:r>
      <w:r w:rsidRPr="00A365FE">
        <w:t>B die Datenharmonisierung) bewertet werden können. Dieses Vorgehen soll am Beispiel „Ausdünnung“ in dem Beitrag näher erlä</w:t>
      </w:r>
      <w:r w:rsidRPr="00A365FE">
        <w:t>u</w:t>
      </w:r>
      <w:r w:rsidRPr="00A365FE">
        <w:t xml:space="preserve">tert werden. </w:t>
      </w:r>
      <w:r w:rsidR="00B654B3">
        <w:t>Durch</w:t>
      </w:r>
      <w:r w:rsidRPr="00A365FE">
        <w:t xml:space="preserve"> die in den einzelnen Regionen und Bundesländer</w:t>
      </w:r>
      <w:r w:rsidR="00DF4B3D">
        <w:t>n</w:t>
      </w:r>
      <w:r w:rsidRPr="00A365FE">
        <w:t xml:space="preserve"> stark unte</w:t>
      </w:r>
      <w:r w:rsidRPr="00A365FE">
        <w:t>r</w:t>
      </w:r>
      <w:r w:rsidRPr="00A365FE">
        <w:t>schiedlich</w:t>
      </w:r>
      <w:r w:rsidR="00B654B3">
        <w:t>e</w:t>
      </w:r>
      <w:r w:rsidR="00DF4B3D">
        <w:t>n</w:t>
      </w:r>
      <w:r w:rsidR="00665548">
        <w:t xml:space="preserve"> </w:t>
      </w:r>
      <w:r w:rsidR="00B654B3" w:rsidRPr="00A365FE">
        <w:t>Datendichte</w:t>
      </w:r>
      <w:r w:rsidR="00B654B3">
        <w:t>n</w:t>
      </w:r>
      <w:r w:rsidRPr="00A365FE">
        <w:t xml:space="preserve"> stellt sich die Frage</w:t>
      </w:r>
      <w:r w:rsidR="00DF4B3D">
        <w:t>,</w:t>
      </w:r>
      <w:r w:rsidRPr="00A365FE">
        <w:t xml:space="preserve"> </w:t>
      </w:r>
      <w:r w:rsidR="00665548">
        <w:t>welchen</w:t>
      </w:r>
      <w:r w:rsidRPr="00A365FE">
        <w:t xml:space="preserve"> Einfluss </w:t>
      </w:r>
      <w:r w:rsidR="00665548">
        <w:t>dies</w:t>
      </w:r>
      <w:r w:rsidR="00B654B3">
        <w:t>e</w:t>
      </w:r>
      <w:r w:rsidR="00665548">
        <w:t xml:space="preserve"> </w:t>
      </w:r>
      <w:r w:rsidRPr="00A365FE">
        <w:t xml:space="preserve">auf die </w:t>
      </w:r>
      <w:r w:rsidR="00665548">
        <w:t>bu</w:t>
      </w:r>
      <w:r w:rsidR="00665548">
        <w:t>n</w:t>
      </w:r>
      <w:r w:rsidR="00665548">
        <w:t xml:space="preserve">desweiten </w:t>
      </w:r>
      <w:r w:rsidRPr="00A365FE">
        <w:t>Hintergrundwerte ha</w:t>
      </w:r>
      <w:r w:rsidR="00DF4B3D">
        <w:t>ben</w:t>
      </w:r>
      <w:r w:rsidRPr="00A365FE">
        <w:t xml:space="preserve"> und eine entsprechende Datenharmonisierung notwendig ist. Nordrhein-Westfahlen hat z.B. bei den klassischen Schwermetallen (</w:t>
      </w:r>
      <w:proofErr w:type="spellStart"/>
      <w:r w:rsidRPr="00A365FE">
        <w:t>Cd</w:t>
      </w:r>
      <w:proofErr w:type="spellEnd"/>
      <w:r w:rsidRPr="00A365FE">
        <w:t xml:space="preserve">, </w:t>
      </w:r>
      <w:proofErr w:type="spellStart"/>
      <w:r w:rsidRPr="00A365FE">
        <w:t>Cr</w:t>
      </w:r>
      <w:proofErr w:type="spellEnd"/>
      <w:r w:rsidRPr="00A365FE">
        <w:t xml:space="preserve">, </w:t>
      </w:r>
      <w:proofErr w:type="spellStart"/>
      <w:r w:rsidRPr="00A365FE">
        <w:t>Cu</w:t>
      </w:r>
      <w:proofErr w:type="spellEnd"/>
      <w:r w:rsidRPr="00A365FE">
        <w:t xml:space="preserve">, </w:t>
      </w:r>
      <w:proofErr w:type="spellStart"/>
      <w:r w:rsidRPr="00A365FE">
        <w:t>Hg</w:t>
      </w:r>
      <w:proofErr w:type="spellEnd"/>
      <w:r w:rsidRPr="00A365FE">
        <w:t xml:space="preserve">, </w:t>
      </w:r>
      <w:proofErr w:type="spellStart"/>
      <w:r w:rsidRPr="00A365FE">
        <w:t>Ni</w:t>
      </w:r>
      <w:proofErr w:type="spellEnd"/>
      <w:r w:rsidRPr="00A365FE">
        <w:t xml:space="preserve">, </w:t>
      </w:r>
      <w:proofErr w:type="spellStart"/>
      <w:r w:rsidRPr="00A365FE">
        <w:t>Pb</w:t>
      </w:r>
      <w:proofErr w:type="spellEnd"/>
      <w:r w:rsidRPr="00A365FE">
        <w:t xml:space="preserve">, </w:t>
      </w:r>
      <w:proofErr w:type="spellStart"/>
      <w:r w:rsidRPr="00A365FE">
        <w:t>Zn</w:t>
      </w:r>
      <w:proofErr w:type="spellEnd"/>
      <w:r w:rsidRPr="00A365FE">
        <w:t>,) eine sehr h</w:t>
      </w:r>
      <w:r w:rsidRPr="00A365FE">
        <w:t>o</w:t>
      </w:r>
      <w:r w:rsidRPr="00A365FE">
        <w:t>he Messdichte</w:t>
      </w:r>
      <w:r w:rsidR="00B654B3">
        <w:t xml:space="preserve">. </w:t>
      </w:r>
      <w:r w:rsidRPr="00A365FE">
        <w:t xml:space="preserve"> Rheinland-Pfalz hat vor kurzer Zeit ein großes Messprogramm a</w:t>
      </w:r>
      <w:r w:rsidRPr="00A365FE">
        <w:t>b</w:t>
      </w:r>
      <w:r w:rsidRPr="00A365FE">
        <w:t xml:space="preserve">geschlossen, so dass </w:t>
      </w:r>
      <w:r w:rsidR="00665548">
        <w:t>für die</w:t>
      </w:r>
      <w:r w:rsidRPr="00A365FE">
        <w:t xml:space="preserve"> erst in neu</w:t>
      </w:r>
      <w:r w:rsidRPr="00A365FE">
        <w:t>e</w:t>
      </w:r>
      <w:r w:rsidRPr="00A365FE">
        <w:t>rer Zeit in den Fokus gerückten S</w:t>
      </w:r>
      <w:r w:rsidR="00B654B3">
        <w:t>pure</w:t>
      </w:r>
      <w:r w:rsidR="00B654B3">
        <w:t>n</w:t>
      </w:r>
      <w:r w:rsidR="00B654B3">
        <w:t>elemente</w:t>
      </w:r>
      <w:r w:rsidRPr="00A365FE">
        <w:t xml:space="preserve"> (As, </w:t>
      </w:r>
      <w:proofErr w:type="spellStart"/>
      <w:r w:rsidRPr="00A365FE">
        <w:t>Sb</w:t>
      </w:r>
      <w:proofErr w:type="spellEnd"/>
      <w:r w:rsidRPr="00A365FE">
        <w:t xml:space="preserve">, </w:t>
      </w:r>
      <w:proofErr w:type="spellStart"/>
      <w:r w:rsidRPr="00A365FE">
        <w:t>Be</w:t>
      </w:r>
      <w:proofErr w:type="spellEnd"/>
      <w:r w:rsidRPr="00A365FE">
        <w:t xml:space="preserve">, Co, Mo, Se, </w:t>
      </w:r>
      <w:proofErr w:type="spellStart"/>
      <w:r w:rsidRPr="00A365FE">
        <w:t>Tl</w:t>
      </w:r>
      <w:proofErr w:type="spellEnd"/>
      <w:r w:rsidRPr="00A365FE">
        <w:t>, U, und V) überdurchschnittlich viele Daten aus diesem Bundesland stammen. Daher wurde neben der bundesweit durchgefüh</w:t>
      </w:r>
      <w:r w:rsidRPr="00A365FE">
        <w:t>r</w:t>
      </w:r>
      <w:r w:rsidRPr="00A365FE">
        <w:t xml:space="preserve">ten Ausdünnung auf </w:t>
      </w:r>
      <w:proofErr w:type="spellStart"/>
      <w:r w:rsidRPr="00A365FE">
        <w:t>Messpunkte</w:t>
      </w:r>
      <w:proofErr w:type="spellEnd"/>
      <w:r w:rsidRPr="00A365FE">
        <w:t xml:space="preserve"> mit mi</w:t>
      </w:r>
      <w:r w:rsidRPr="00A365FE">
        <w:t>n</w:t>
      </w:r>
      <w:r w:rsidRPr="00A365FE">
        <w:t>destens 999</w:t>
      </w:r>
      <w:r w:rsidR="007A08A4">
        <w:t xml:space="preserve"> </w:t>
      </w:r>
      <w:r w:rsidRPr="00A365FE">
        <w:t>m Abstand in diesen beiden Ländern noch auf 4999 m und 9999</w:t>
      </w:r>
      <w:r w:rsidR="007A08A4">
        <w:t xml:space="preserve"> </w:t>
      </w:r>
      <w:r w:rsidRPr="00A365FE">
        <w:t>m A</w:t>
      </w:r>
      <w:r w:rsidRPr="00A365FE">
        <w:t>b</w:t>
      </w:r>
      <w:r w:rsidRPr="00A365FE">
        <w:t xml:space="preserve">stand ausgedünnt. </w:t>
      </w:r>
      <w:r w:rsidR="00665548">
        <w:t>Die Ausdünnung auf 999</w:t>
      </w:r>
      <w:r w:rsidR="007A08A4">
        <w:t xml:space="preserve"> </w:t>
      </w:r>
      <w:r w:rsidR="00665548">
        <w:t>m stellt sicher</w:t>
      </w:r>
      <w:r w:rsidR="00263B01">
        <w:t>,</w:t>
      </w:r>
      <w:r w:rsidR="00665548">
        <w:t xml:space="preserve"> dass die einzelnen Messstandorte </w:t>
      </w:r>
      <w:r w:rsidR="00DF4B3D">
        <w:t xml:space="preserve">räumlich </w:t>
      </w:r>
      <w:r w:rsidR="00665548" w:rsidRPr="00665548">
        <w:t>unabhängig</w:t>
      </w:r>
      <w:r w:rsidR="00665548">
        <w:t xml:space="preserve"> sind</w:t>
      </w:r>
      <w:r w:rsidR="00665548" w:rsidRPr="00665548">
        <w:t xml:space="preserve">. </w:t>
      </w:r>
      <w:proofErr w:type="spellStart"/>
      <w:r w:rsidR="00665548" w:rsidRPr="00665548">
        <w:t>Semivariogramme</w:t>
      </w:r>
      <w:proofErr w:type="spellEnd"/>
      <w:r w:rsidR="00665548" w:rsidRPr="00665548">
        <w:t xml:space="preserve"> zeigten eine räumliche Abhängigkeit </w:t>
      </w:r>
      <w:r w:rsidR="00DF4B3D">
        <w:t>zwischen</w:t>
      </w:r>
      <w:r w:rsidR="00DF4B3D" w:rsidRPr="00665548">
        <w:t xml:space="preserve"> </w:t>
      </w:r>
      <w:r w:rsidR="00665548">
        <w:t>500</w:t>
      </w:r>
      <w:r w:rsidR="00DF4B3D">
        <w:t xml:space="preserve"> und</w:t>
      </w:r>
      <w:r w:rsidR="008E52E3">
        <w:t xml:space="preserve"> </w:t>
      </w:r>
      <w:r w:rsidR="00665548">
        <w:t>600 m (Utermann et al. 1999</w:t>
      </w:r>
      <w:r w:rsidR="00665548" w:rsidRPr="00665548">
        <w:t>).</w:t>
      </w:r>
    </w:p>
    <w:p w:rsidR="00A365FE" w:rsidRPr="00A365FE" w:rsidRDefault="00A365FE" w:rsidP="00A365FE">
      <w:r w:rsidRPr="00A365FE">
        <w:lastRenderedPageBreak/>
        <w:t>Die Unterschiede zwischen den aus den verschiedenen Datenkollektiven gewonn</w:t>
      </w:r>
      <w:r w:rsidRPr="00A365FE">
        <w:t>e</w:t>
      </w:r>
      <w:r w:rsidRPr="00A365FE">
        <w:t>nen Hintergrundwerten (90stes Perzentil) lassen sich bewerten, indem di</w:t>
      </w:r>
      <w:r w:rsidR="007A08A4">
        <w:t>e</w:t>
      </w:r>
      <w:r w:rsidRPr="00A365FE">
        <w:t xml:space="preserve"> Konfi</w:t>
      </w:r>
      <w:r w:rsidR="007A08A4">
        <w:softHyphen/>
      </w:r>
      <w:r w:rsidRPr="00A365FE">
        <w:t>de</w:t>
      </w:r>
      <w:r w:rsidR="007A08A4">
        <w:t>n</w:t>
      </w:r>
      <w:r w:rsidRPr="00A365FE">
        <w:t>z</w:t>
      </w:r>
      <w:r w:rsidR="007A08A4">
        <w:softHyphen/>
      </w:r>
      <w:r w:rsidRPr="00A365FE">
        <w:t>intervalle (95%) der 90</w:t>
      </w:r>
      <w:r w:rsidR="007A08A4">
        <w:t>sten</w:t>
      </w:r>
      <w:r w:rsidRPr="00A365FE">
        <w:t xml:space="preserve"> Perzentile mittels Bootstrapping, einem verteilung</w:t>
      </w:r>
      <w:r w:rsidRPr="00A365FE">
        <w:t>s</w:t>
      </w:r>
      <w:r w:rsidRPr="00A365FE">
        <w:t>unabhängigen (nicht-parametrischen) Ve</w:t>
      </w:r>
      <w:r w:rsidRPr="00A365FE">
        <w:t>r</w:t>
      </w:r>
      <w:r w:rsidRPr="00A365FE">
        <w:t>fa</w:t>
      </w:r>
      <w:r w:rsidRPr="00A365FE">
        <w:t>h</w:t>
      </w:r>
      <w:r w:rsidRPr="00A365FE">
        <w:t xml:space="preserve">ren, bestimmt werden. </w:t>
      </w:r>
    </w:p>
    <w:p w:rsidR="000A1DFB" w:rsidRPr="00665548" w:rsidRDefault="000A1DFB" w:rsidP="00A365FE">
      <w:pPr>
        <w:rPr>
          <w:b/>
        </w:rPr>
      </w:pPr>
      <w:r w:rsidRPr="00665548">
        <w:rPr>
          <w:b/>
        </w:rPr>
        <w:t>Ergebnisse und Diskussion</w:t>
      </w:r>
    </w:p>
    <w:p w:rsidR="00604CCD" w:rsidRDefault="00962295" w:rsidP="00A365FE">
      <w:r>
        <w:t>Die</w:t>
      </w:r>
      <w:r w:rsidR="00A365FE" w:rsidRPr="00A365FE">
        <w:t xml:space="preserve"> nachfolgend</w:t>
      </w:r>
      <w:r>
        <w:t>e Abbildung zeigt die a</w:t>
      </w:r>
      <w:r>
        <w:t>b</w:t>
      </w:r>
      <w:r>
        <w:t xml:space="preserve">geleiteten Hintergrundwerte </w:t>
      </w:r>
      <w:r w:rsidRPr="00A365FE">
        <w:t>(90ste Perze</w:t>
      </w:r>
      <w:r w:rsidRPr="00A365FE">
        <w:t>n</w:t>
      </w:r>
      <w:r w:rsidRPr="00A365FE">
        <w:t>til</w:t>
      </w:r>
      <w:r>
        <w:t>e</w:t>
      </w:r>
      <w:r w:rsidRPr="00A365FE">
        <w:t xml:space="preserve">) </w:t>
      </w:r>
      <w:r>
        <w:t>für Cadmium (oben) und Nickel (unten) für verschieden</w:t>
      </w:r>
      <w:r w:rsidR="00417EE4">
        <w:t>e</w:t>
      </w:r>
      <w:r>
        <w:t xml:space="preserve"> Ausdünnung</w:t>
      </w:r>
      <w:r w:rsidR="00417EE4">
        <w:t>sradien</w:t>
      </w:r>
      <w:r>
        <w:t xml:space="preserve"> in den zwei Bundesländern NRW und RP. Im Gegensatz zu Nickel, bei dem kaum ein </w:t>
      </w:r>
      <w:r w:rsidRPr="00A365FE">
        <w:t>Einfluss zu beobachten ist</w:t>
      </w:r>
      <w:r>
        <w:t>, zeigt</w:t>
      </w:r>
      <w:r w:rsidR="00604CCD">
        <w:t xml:space="preserve"> sich </w:t>
      </w:r>
      <w:r w:rsidR="00417EE4">
        <w:t xml:space="preserve">bei </w:t>
      </w:r>
      <w:r w:rsidR="00604CCD">
        <w:t>Cadmium, das</w:t>
      </w:r>
      <w:r w:rsidR="00263B01">
        <w:t>s</w:t>
      </w:r>
      <w:r w:rsidR="00604CCD">
        <w:t xml:space="preserve"> </w:t>
      </w:r>
      <w:r w:rsidR="00A365FE" w:rsidRPr="00A365FE">
        <w:t>die Ausdünnung zumi</w:t>
      </w:r>
      <w:r w:rsidR="00A365FE" w:rsidRPr="00A365FE">
        <w:t>n</w:t>
      </w:r>
      <w:r w:rsidR="00A365FE" w:rsidRPr="00A365FE">
        <w:t>dest im Oberboden zu Änderungen in de</w:t>
      </w:r>
      <w:r w:rsidR="00417EE4">
        <w:t>n</w:t>
      </w:r>
      <w:r w:rsidR="00A365FE" w:rsidRPr="00A365FE">
        <w:t xml:space="preserve"> berechneten Hintergrundwerten führt</w:t>
      </w:r>
      <w:r w:rsidR="00604CCD">
        <w:t xml:space="preserve">. </w:t>
      </w:r>
    </w:p>
    <w:p w:rsidR="00A365FE" w:rsidRPr="00A365FE" w:rsidRDefault="00B654B3" w:rsidP="00CE04ED">
      <w:pPr>
        <w:spacing w:after="120"/>
      </w:pPr>
      <w:r>
        <w:rPr>
          <w:noProof/>
          <w:lang w:eastAsia="de-D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1448435</wp:posOffset>
            </wp:positionH>
            <wp:positionV relativeFrom="paragraph">
              <wp:posOffset>1410970</wp:posOffset>
            </wp:positionV>
            <wp:extent cx="252730" cy="255270"/>
            <wp:effectExtent l="19050" t="0" r="0" b="0"/>
            <wp:wrapNone/>
            <wp:docPr id="16" name="Bild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211" t="-2938" r="67057" b="6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550545</wp:posOffset>
            </wp:positionH>
            <wp:positionV relativeFrom="paragraph">
              <wp:posOffset>1394460</wp:posOffset>
            </wp:positionV>
            <wp:extent cx="252730" cy="255270"/>
            <wp:effectExtent l="19050" t="0" r="0" b="0"/>
            <wp:wrapNone/>
            <wp:docPr id="18" name="Bild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72157" b="11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1004193</wp:posOffset>
            </wp:positionH>
            <wp:positionV relativeFrom="paragraph">
              <wp:posOffset>1411468</wp:posOffset>
            </wp:positionV>
            <wp:extent cx="252798" cy="255373"/>
            <wp:effectExtent l="19050" t="0" r="0" b="0"/>
            <wp:wrapNone/>
            <wp:docPr id="17" name="Bild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356" t="7974" r="69920" b="117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8" cy="255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2388" w:rsidRPr="000F2388">
        <w:rPr>
          <w:noProof/>
          <w:lang w:eastAsia="de-DE"/>
        </w:rPr>
        <w:drawing>
          <wp:inline distT="0" distB="0" distL="0" distR="0">
            <wp:extent cx="3217150" cy="1943281"/>
            <wp:effectExtent l="19050" t="0" r="230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785" cy="194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5FE" w:rsidRDefault="00B654B3" w:rsidP="00A365FE">
      <w:r>
        <w:rPr>
          <w:noProof/>
          <w:lang w:eastAsia="de-D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1448435</wp:posOffset>
            </wp:positionH>
            <wp:positionV relativeFrom="paragraph">
              <wp:posOffset>1398270</wp:posOffset>
            </wp:positionV>
            <wp:extent cx="252730" cy="255270"/>
            <wp:effectExtent l="19050" t="0" r="0" b="0"/>
            <wp:wrapNone/>
            <wp:docPr id="10" name="Bild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211" t="-2938" r="67057" b="6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550545</wp:posOffset>
            </wp:positionH>
            <wp:positionV relativeFrom="paragraph">
              <wp:posOffset>1382395</wp:posOffset>
            </wp:positionV>
            <wp:extent cx="252730" cy="255270"/>
            <wp:effectExtent l="19050" t="0" r="0" b="0"/>
            <wp:wrapNone/>
            <wp:docPr id="8" name="Bild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72157" b="11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1004192</wp:posOffset>
            </wp:positionH>
            <wp:positionV relativeFrom="paragraph">
              <wp:posOffset>1398871</wp:posOffset>
            </wp:positionV>
            <wp:extent cx="252799" cy="255373"/>
            <wp:effectExtent l="19050" t="0" r="0" b="0"/>
            <wp:wrapNone/>
            <wp:docPr id="6" name="Bild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356" t="7974" r="69920" b="117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9" cy="255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2388" w:rsidRPr="000F2388">
        <w:rPr>
          <w:noProof/>
          <w:lang w:eastAsia="de-DE"/>
        </w:rPr>
        <w:drawing>
          <wp:inline distT="0" distB="0" distL="0" distR="0">
            <wp:extent cx="3215057" cy="1944130"/>
            <wp:effectExtent l="19050" t="0" r="4393" b="0"/>
            <wp:docPr id="5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391" cy="1948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CCD" w:rsidRPr="00604CCD" w:rsidRDefault="00604CCD" w:rsidP="00A365FE">
      <w:pPr>
        <w:rPr>
          <w:sz w:val="20"/>
          <w:szCs w:val="20"/>
        </w:rPr>
      </w:pPr>
      <w:r w:rsidRPr="00604CCD">
        <w:rPr>
          <w:b/>
          <w:sz w:val="20"/>
          <w:szCs w:val="20"/>
        </w:rPr>
        <w:t>Abb.1:</w:t>
      </w:r>
      <w:r w:rsidRPr="00604CCD">
        <w:rPr>
          <w:sz w:val="20"/>
          <w:szCs w:val="20"/>
        </w:rPr>
        <w:t xml:space="preserve"> Hintergrundwerte (90ste Perzentile) für Cadmium (oben) und Nickel (unten) und deren durch Bootstrapping bestimmte Vertrauensintervalle</w:t>
      </w:r>
    </w:p>
    <w:p w:rsidR="00A365FE" w:rsidRDefault="00A365FE" w:rsidP="00A365FE">
      <w:r>
        <w:t xml:space="preserve">Daraus </w:t>
      </w:r>
      <w:r w:rsidR="00604CCD">
        <w:t>ergibt</w:t>
      </w:r>
      <w:r>
        <w:t xml:space="preserve"> sich, da</w:t>
      </w:r>
      <w:r w:rsidR="00665548">
        <w:t>s</w:t>
      </w:r>
      <w:r>
        <w:t>s d</w:t>
      </w:r>
      <w:r w:rsidRPr="00A365FE">
        <w:t>ie Bewertung der einzelnen Schritte elementspezifisch vo</w:t>
      </w:r>
      <w:r w:rsidRPr="00A365FE">
        <w:t>r</w:t>
      </w:r>
      <w:r w:rsidRPr="00A365FE">
        <w:t xml:space="preserve">genommen werden </w:t>
      </w:r>
      <w:r w:rsidR="00604CCD">
        <w:t>sollte</w:t>
      </w:r>
      <w:r w:rsidRPr="00A365FE">
        <w:t xml:space="preserve">. Während bei </w:t>
      </w:r>
      <w:r w:rsidRPr="00A365FE">
        <w:lastRenderedPageBreak/>
        <w:t>einigen Elemen</w:t>
      </w:r>
      <w:r w:rsidR="00665548">
        <w:t xml:space="preserve">ten (wie </w:t>
      </w:r>
      <w:r w:rsidR="00B91EA9">
        <w:t xml:space="preserve">in </w:t>
      </w:r>
      <w:r w:rsidR="00B91EA9" w:rsidRPr="00A365FE">
        <w:t xml:space="preserve">dem Beispiel </w:t>
      </w:r>
      <w:proofErr w:type="spellStart"/>
      <w:r w:rsidR="00B91EA9" w:rsidRPr="00A365FE">
        <w:t>Cd</w:t>
      </w:r>
      <w:proofErr w:type="spellEnd"/>
      <w:r w:rsidRPr="00A365FE">
        <w:t>) eine Ausdünnung notwendig ist</w:t>
      </w:r>
      <w:r w:rsidR="00B91EA9">
        <w:t>, um eine räumliche R</w:t>
      </w:r>
      <w:r w:rsidRPr="00A365FE">
        <w:t>epräsentanz sicherzuste</w:t>
      </w:r>
      <w:r w:rsidRPr="00A365FE">
        <w:t>l</w:t>
      </w:r>
      <w:r w:rsidRPr="00A365FE">
        <w:t>len, führt sie bei ander</w:t>
      </w:r>
      <w:r w:rsidR="00417EE4">
        <w:t>e</w:t>
      </w:r>
      <w:r w:rsidRPr="00A365FE">
        <w:t>n Elementen nur zu einer Erhöhung der Unsicherheit des Hi</w:t>
      </w:r>
      <w:r w:rsidRPr="00A365FE">
        <w:t>n</w:t>
      </w:r>
      <w:r w:rsidRPr="00A365FE">
        <w:t>tergrundwertes</w:t>
      </w:r>
      <w:r w:rsidR="00B91EA9">
        <w:t>,</w:t>
      </w:r>
      <w:r w:rsidRPr="00A365FE">
        <w:t xml:space="preserve"> da die Anzahl der eing</w:t>
      </w:r>
      <w:r w:rsidRPr="00A365FE">
        <w:t>e</w:t>
      </w:r>
      <w:r w:rsidRPr="00A365FE">
        <w:t>henden Messwerte reduziert wird.</w:t>
      </w:r>
    </w:p>
    <w:p w:rsidR="000A1DFB" w:rsidRDefault="00D807C3" w:rsidP="00301C80">
      <w:pPr>
        <w:keepNext/>
        <w:rPr>
          <w:b/>
        </w:rPr>
      </w:pPr>
      <w:r>
        <w:rPr>
          <w:b/>
        </w:rPr>
        <w:t>Schlussfolgerungen</w:t>
      </w:r>
    </w:p>
    <w:p w:rsidR="00A365FE" w:rsidRPr="00A365FE" w:rsidRDefault="00A365FE" w:rsidP="00A365FE">
      <w:r>
        <w:t xml:space="preserve">Durch die Projektarbeit hat sich </w:t>
      </w:r>
      <w:r w:rsidRPr="00A365FE">
        <w:t xml:space="preserve">erwiesen, dass Bootstrapping eine gut anwendbare statistische Methode ist, um die </w:t>
      </w:r>
      <w:r w:rsidRPr="00294D7E">
        <w:t>Unsiche</w:t>
      </w:r>
      <w:r w:rsidRPr="00294D7E">
        <w:t>r</w:t>
      </w:r>
      <w:r w:rsidRPr="00294D7E">
        <w:t>heit bei nicht bekannter statistischer Verte</w:t>
      </w:r>
      <w:r w:rsidRPr="00294D7E">
        <w:t>i</w:t>
      </w:r>
      <w:r w:rsidRPr="00294D7E">
        <w:t xml:space="preserve">lung der Messdaten zu bestimmen und somit Bewertungen vornehmen zu können. Wie erwartet hat sich gezeigt, dass </w:t>
      </w:r>
      <w:r w:rsidR="00B654B3" w:rsidRPr="00294D7E">
        <w:t>insb</w:t>
      </w:r>
      <w:r w:rsidR="00B654B3" w:rsidRPr="00294D7E">
        <w:t>e</w:t>
      </w:r>
      <w:r w:rsidR="00B654B3" w:rsidRPr="00294D7E">
        <w:t xml:space="preserve">sondere </w:t>
      </w:r>
      <w:r w:rsidRPr="00294D7E">
        <w:t>der Harmonisierungsschritt Aus</w:t>
      </w:r>
      <w:r w:rsidR="00B654B3" w:rsidRPr="00294D7E">
        <w:softHyphen/>
      </w:r>
      <w:r w:rsidRPr="00294D7E">
        <w:t>reißer</w:t>
      </w:r>
      <w:r w:rsidR="00B654B3" w:rsidRPr="00294D7E">
        <w:softHyphen/>
      </w:r>
      <w:r w:rsidRPr="00294D7E">
        <w:t xml:space="preserve">bereinigung </w:t>
      </w:r>
      <w:r w:rsidR="00B654B3" w:rsidRPr="00294D7E">
        <w:t xml:space="preserve">einen großen Einfluss </w:t>
      </w:r>
      <w:r w:rsidRPr="00294D7E">
        <w:t>auf die Hintergrundwerte  (90</w:t>
      </w:r>
      <w:r w:rsidR="007A08A4">
        <w:t>ste</w:t>
      </w:r>
      <w:r w:rsidRPr="00294D7E">
        <w:t xml:space="preserve"> Perzent</w:t>
      </w:r>
      <w:r w:rsidRPr="00294D7E">
        <w:t>i</w:t>
      </w:r>
      <w:r w:rsidRPr="00294D7E">
        <w:t>le) hat. Neben der Absenkung des Wertes</w:t>
      </w:r>
      <w:r w:rsidRPr="00A365FE">
        <w:t xml:space="preserve"> bewirkt die Ausreißer</w:t>
      </w:r>
      <w:r w:rsidR="00CE04ED">
        <w:t>b</w:t>
      </w:r>
      <w:r w:rsidR="00B654B3" w:rsidRPr="00A365FE">
        <w:t>ereinigung</w:t>
      </w:r>
      <w:r w:rsidRPr="00A365FE">
        <w:t xml:space="preserve"> im Al</w:t>
      </w:r>
      <w:r w:rsidRPr="00A365FE">
        <w:t>l</w:t>
      </w:r>
      <w:r w:rsidRPr="00A365FE">
        <w:t>gemeinen auch eine Verringerung der mi</w:t>
      </w:r>
      <w:r w:rsidRPr="00A365FE">
        <w:t>t</w:t>
      </w:r>
      <w:r w:rsidRPr="00A365FE">
        <w:t>tels Bootstrapping bestimmten Unsiche</w:t>
      </w:r>
      <w:r w:rsidRPr="00A365FE">
        <w:t>r</w:t>
      </w:r>
      <w:r w:rsidRPr="00A365FE">
        <w:t>heit de</w:t>
      </w:r>
      <w:r w:rsidR="00F353F1">
        <w:t>r</w:t>
      </w:r>
      <w:r w:rsidRPr="00A365FE">
        <w:t xml:space="preserve"> 90</w:t>
      </w:r>
      <w:r w:rsidR="007A08A4">
        <w:t>sten</w:t>
      </w:r>
      <w:r w:rsidRPr="00A365FE">
        <w:t xml:space="preserve"> Perzentil</w:t>
      </w:r>
      <w:r w:rsidR="00F353F1">
        <w:t>e</w:t>
      </w:r>
      <w:r w:rsidR="00CE04ED">
        <w:t>.</w:t>
      </w:r>
      <w:r w:rsidRPr="00A365FE">
        <w:t xml:space="preserve"> Die Auswirku</w:t>
      </w:r>
      <w:r w:rsidRPr="00A365FE">
        <w:t>n</w:t>
      </w:r>
      <w:r w:rsidRPr="00A365FE">
        <w:t>gen auf die Hintergrundwerte (50</w:t>
      </w:r>
      <w:r w:rsidR="007A08A4">
        <w:t>ste</w:t>
      </w:r>
      <w:r w:rsidRPr="00A365FE">
        <w:t xml:space="preserve"> Pe</w:t>
      </w:r>
      <w:r w:rsidRPr="00A365FE">
        <w:t>r</w:t>
      </w:r>
      <w:r w:rsidRPr="00A365FE">
        <w:t>zentile) bewegen sich dagegen i</w:t>
      </w:r>
      <w:r w:rsidR="00417EE4">
        <w:t>m</w:t>
      </w:r>
      <w:r w:rsidRPr="00A365FE">
        <w:t xml:space="preserve"> Bereich der durch Bootstrapping ausgewiesenen Uns</w:t>
      </w:r>
      <w:r w:rsidRPr="00A365FE">
        <w:t>i</w:t>
      </w:r>
      <w:r w:rsidRPr="00A365FE">
        <w:t xml:space="preserve">cherheiten. Es hat sich </w:t>
      </w:r>
      <w:r w:rsidR="00CE04ED">
        <w:t>zudem</w:t>
      </w:r>
      <w:r w:rsidRPr="00A365FE">
        <w:t xml:space="preserve"> gezeigt, dass das hier vorgestellte </w:t>
      </w:r>
      <w:r w:rsidR="00CE04ED" w:rsidRPr="00A365FE">
        <w:t>auf Bootstra</w:t>
      </w:r>
      <w:r w:rsidR="00CE04ED" w:rsidRPr="00A365FE">
        <w:t>p</w:t>
      </w:r>
      <w:r w:rsidR="00CE04ED" w:rsidRPr="00A365FE">
        <w:t xml:space="preserve">ping basierende </w:t>
      </w:r>
      <w:r w:rsidRPr="00A365FE">
        <w:t>Vorgehen genutzt werden kann, um En</w:t>
      </w:r>
      <w:r w:rsidRPr="00A365FE">
        <w:t>t</w:t>
      </w:r>
      <w:r w:rsidRPr="00A365FE">
        <w:t>scheidungen zu treffen, ob einzelne Datenkollektive</w:t>
      </w:r>
      <w:r w:rsidR="00CE04ED">
        <w:t xml:space="preserve"> stärker</w:t>
      </w:r>
      <w:r w:rsidRPr="00A365FE">
        <w:t xml:space="preserve"> </w:t>
      </w:r>
      <w:r w:rsidR="00CE04ED">
        <w:t>d</w:t>
      </w:r>
      <w:r w:rsidRPr="00A365FE">
        <w:t>iffere</w:t>
      </w:r>
      <w:r w:rsidRPr="00A365FE">
        <w:t>n</w:t>
      </w:r>
      <w:r w:rsidRPr="00A365FE">
        <w:t xml:space="preserve">ziert werden sollten, </w:t>
      </w:r>
      <w:r w:rsidR="00CE04ED">
        <w:t>oder</w:t>
      </w:r>
      <w:r w:rsidRPr="00A365FE">
        <w:t xml:space="preserve"> ob auch </w:t>
      </w:r>
      <w:r w:rsidR="00CE04ED">
        <w:t>ein Ag</w:t>
      </w:r>
      <w:r w:rsidR="00CE04ED">
        <w:t>g</w:t>
      </w:r>
      <w:r w:rsidR="00CE04ED">
        <w:t xml:space="preserve">regieren </w:t>
      </w:r>
      <w:r w:rsidR="007A08A4">
        <w:t>mehrerer</w:t>
      </w:r>
      <w:r w:rsidRPr="00A365FE">
        <w:t xml:space="preserve"> Datenkollektive </w:t>
      </w:r>
      <w:r w:rsidR="007A08A4">
        <w:t>zur B</w:t>
      </w:r>
      <w:r w:rsidR="007A08A4">
        <w:t>e</w:t>
      </w:r>
      <w:r w:rsidR="007A08A4">
        <w:t>rechnung eines gemeinsamen Hinte</w:t>
      </w:r>
      <w:r w:rsidR="007A08A4">
        <w:t>r</w:t>
      </w:r>
      <w:r w:rsidR="007A08A4">
        <w:t xml:space="preserve">grundwertes </w:t>
      </w:r>
      <w:r w:rsidR="00CE04ED">
        <w:t>mö</w:t>
      </w:r>
      <w:r w:rsidR="00CE04ED">
        <w:t>g</w:t>
      </w:r>
      <w:r w:rsidR="00CE04ED">
        <w:t>lich ist</w:t>
      </w:r>
      <w:r w:rsidRPr="00A365FE">
        <w:t>.</w:t>
      </w:r>
      <w:bookmarkStart w:id="0" w:name="_GoBack"/>
      <w:bookmarkEnd w:id="0"/>
    </w:p>
    <w:p w:rsidR="00EA31E7" w:rsidRPr="00EA31E7" w:rsidRDefault="00EA31E7" w:rsidP="00301C80">
      <w:pPr>
        <w:keepNext/>
        <w:rPr>
          <w:b/>
        </w:rPr>
      </w:pPr>
      <w:r w:rsidRPr="00EA31E7">
        <w:rPr>
          <w:b/>
        </w:rPr>
        <w:t>Literatur</w:t>
      </w:r>
    </w:p>
    <w:p w:rsidR="00665548" w:rsidRPr="007A08A4" w:rsidRDefault="00665548" w:rsidP="00665548">
      <w:pPr>
        <w:rPr>
          <w:sz w:val="22"/>
        </w:rPr>
      </w:pPr>
      <w:r w:rsidRPr="007A08A4">
        <w:rPr>
          <w:sz w:val="22"/>
        </w:rPr>
        <w:t xml:space="preserve">Utermann, J., </w:t>
      </w:r>
      <w:proofErr w:type="spellStart"/>
      <w:r w:rsidRPr="007A08A4">
        <w:rPr>
          <w:sz w:val="22"/>
        </w:rPr>
        <w:t>Düwel</w:t>
      </w:r>
      <w:proofErr w:type="spellEnd"/>
      <w:r w:rsidRPr="007A08A4">
        <w:rPr>
          <w:sz w:val="22"/>
        </w:rPr>
        <w:t>, O., Fuchs, M., Gä</w:t>
      </w:r>
      <w:r w:rsidRPr="007A08A4">
        <w:rPr>
          <w:sz w:val="22"/>
        </w:rPr>
        <w:t>b</w:t>
      </w:r>
      <w:r w:rsidRPr="007A08A4">
        <w:rPr>
          <w:sz w:val="22"/>
        </w:rPr>
        <w:t xml:space="preserve">ler, H.E., Gehrt, E., </w:t>
      </w:r>
      <w:proofErr w:type="spellStart"/>
      <w:r w:rsidRPr="007A08A4">
        <w:rPr>
          <w:sz w:val="22"/>
        </w:rPr>
        <w:t>Hindel</w:t>
      </w:r>
      <w:proofErr w:type="spellEnd"/>
      <w:r w:rsidRPr="007A08A4">
        <w:rPr>
          <w:sz w:val="22"/>
        </w:rPr>
        <w:t>, R. &amp; Schneider J. (1999): Methodische Anforderungen an die Flächenrepräsentanz von Hintergrun</w:t>
      </w:r>
      <w:r w:rsidRPr="007A08A4">
        <w:rPr>
          <w:sz w:val="22"/>
        </w:rPr>
        <w:t>d</w:t>
      </w:r>
      <w:r w:rsidRPr="007A08A4">
        <w:rPr>
          <w:sz w:val="22"/>
        </w:rPr>
        <w:t>gehalten in Oberböden. Forschungsbericht 29771010, UBA Texte 95/99, 141 pp.</w:t>
      </w:r>
    </w:p>
    <w:p w:rsidR="000F2388" w:rsidRDefault="000F2388" w:rsidP="00665548">
      <w:r w:rsidRPr="000F2388">
        <w:t>Dem Umweltbundesamt danken wir für die Finanzierung des Projektes (FKZ 371271224).</w:t>
      </w:r>
    </w:p>
    <w:sectPr w:rsidR="000F2388" w:rsidSect="00781A97">
      <w:pgSz w:w="11906" w:h="16838"/>
      <w:pgMar w:top="851" w:right="851" w:bottom="851" w:left="1134" w:header="709" w:footer="709" w:gutter="0"/>
      <w:cols w:num="2"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DFDBB86" w15:done="0"/>
  <w15:commentEx w15:paraId="0A100708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27F" w:rsidRDefault="0095427F" w:rsidP="0071292F">
      <w:pPr>
        <w:spacing w:after="0" w:line="240" w:lineRule="auto"/>
      </w:pPr>
      <w:r>
        <w:separator/>
      </w:r>
    </w:p>
  </w:endnote>
  <w:endnote w:type="continuationSeparator" w:id="0">
    <w:p w:rsidR="0095427F" w:rsidRDefault="0095427F" w:rsidP="00712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27F" w:rsidRDefault="0095427F" w:rsidP="000A1DFB">
      <w:pPr>
        <w:pBdr>
          <w:between w:val="single" w:sz="4" w:space="1" w:color="auto"/>
        </w:pBdr>
        <w:spacing w:after="0" w:line="240" w:lineRule="auto"/>
      </w:pPr>
      <w:r>
        <w:pict>
          <v:rect id="_x0000_i1025" style="width:232.45pt;height:1pt;mso-position-horizontal:absolute" o:hrpct="0" o:hrstd="t" o:hrnoshade="t" o:hr="t" fillcolor="black [3213]" stroked="f"/>
        </w:pict>
      </w:r>
    </w:p>
  </w:footnote>
  <w:footnote w:type="continuationSeparator" w:id="0">
    <w:p w:rsidR="0095427F" w:rsidRDefault="0095427F" w:rsidP="0071292F">
      <w:pPr>
        <w:spacing w:after="0" w:line="240" w:lineRule="auto"/>
      </w:pPr>
      <w:r>
        <w:continuationSeparator/>
      </w:r>
    </w:p>
  </w:footnote>
  <w:footnote w:type="continuationNotice" w:id="1">
    <w:p w:rsidR="0095427F" w:rsidRDefault="0095427F">
      <w:pPr>
        <w:spacing w:after="0" w:line="240" w:lineRule="auto"/>
      </w:pPr>
    </w:p>
  </w:footnote>
  <w:footnote w:id="2">
    <w:p w:rsidR="00A365FE" w:rsidRPr="000F2388" w:rsidRDefault="00A365FE" w:rsidP="00A365FE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0F2388">
        <w:t>Bundesanstalt für Geowissenschaften und Ro</w:t>
      </w:r>
      <w:r w:rsidRPr="000F2388">
        <w:t>h</w:t>
      </w:r>
      <w:r w:rsidRPr="000F2388">
        <w:t xml:space="preserve">stoffe (BGR), Boden als Ressource – </w:t>
      </w:r>
      <w:r w:rsidRPr="00B654B3">
        <w:rPr>
          <w:spacing w:val="-2"/>
        </w:rPr>
        <w:t>Stoffeige</w:t>
      </w:r>
      <w:r w:rsidRPr="00B654B3">
        <w:rPr>
          <w:spacing w:val="-2"/>
        </w:rPr>
        <w:t>n</w:t>
      </w:r>
      <w:r w:rsidRPr="00B654B3">
        <w:rPr>
          <w:spacing w:val="-2"/>
        </w:rPr>
        <w:t xml:space="preserve">schaften und Dynamik, </w:t>
      </w:r>
      <w:proofErr w:type="spellStart"/>
      <w:r w:rsidRPr="00B654B3">
        <w:rPr>
          <w:spacing w:val="-2"/>
        </w:rPr>
        <w:t>Stille</w:t>
      </w:r>
      <w:r w:rsidRPr="00B654B3">
        <w:rPr>
          <w:spacing w:val="-2"/>
        </w:rPr>
        <w:softHyphen/>
      </w:r>
      <w:r w:rsidRPr="00B654B3">
        <w:rPr>
          <w:spacing w:val="-2"/>
        </w:rPr>
        <w:softHyphen/>
        <w:t>weg</w:t>
      </w:r>
      <w:proofErr w:type="spellEnd"/>
      <w:r w:rsidRPr="00B654B3">
        <w:rPr>
          <w:spacing w:val="-2"/>
        </w:rPr>
        <w:t xml:space="preserve"> 2, 30655 Hannover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62DBF"/>
    <w:multiLevelType w:val="hybridMultilevel"/>
    <w:tmpl w:val="70C6BF84"/>
    <w:lvl w:ilvl="0" w:tplc="DFA077F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125EEC00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74F08122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5522506E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1374C0E2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14CC3A04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28C2F6F8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3CFE5CC0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875C51C2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5C3CB9"/>
    <w:multiLevelType w:val="hybridMultilevel"/>
    <w:tmpl w:val="805A903C"/>
    <w:lvl w:ilvl="0" w:tplc="EF88FD3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CAB048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CE7498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869FB2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7A0C66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AE01C4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9AB40E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328FF2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0A1F3C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828185B"/>
    <w:multiLevelType w:val="hybridMultilevel"/>
    <w:tmpl w:val="0CE28136"/>
    <w:lvl w:ilvl="0" w:tplc="61DCAE92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34388C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2C0374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96218E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C44CCC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9EFB50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5E4BE0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40DF50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CCEAAC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nen, Lars">
    <w15:presenceInfo w15:providerId="AD" w15:userId="S-1-5-21-1513890350-1835559689-1380004826-6529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autoHyphenation/>
  <w:hyphenationZone w:val="425"/>
  <w:characterSpacingControl w:val="doNotCompress"/>
  <w:hdrShapeDefaults>
    <o:shapedefaults v:ext="edit" spidmax="8194"/>
  </w:hdrShapeDefaults>
  <w:footnotePr>
    <w:footnote w:id="-1"/>
    <w:footnote w:id="0"/>
    <w:footnote w:id="1"/>
  </w:footnotePr>
  <w:endnotePr>
    <w:endnote w:id="-1"/>
    <w:endnote w:id="0"/>
  </w:endnotePr>
  <w:compat/>
  <w:rsids>
    <w:rsidRoot w:val="00781A97"/>
    <w:rsid w:val="000341B7"/>
    <w:rsid w:val="00054EE4"/>
    <w:rsid w:val="000A1DFB"/>
    <w:rsid w:val="000F2388"/>
    <w:rsid w:val="0017119D"/>
    <w:rsid w:val="00263B01"/>
    <w:rsid w:val="00294D7E"/>
    <w:rsid w:val="00301C80"/>
    <w:rsid w:val="003045C8"/>
    <w:rsid w:val="00355451"/>
    <w:rsid w:val="00417EE4"/>
    <w:rsid w:val="004C52BC"/>
    <w:rsid w:val="004F7786"/>
    <w:rsid w:val="00541EDB"/>
    <w:rsid w:val="005C1635"/>
    <w:rsid w:val="00604CCD"/>
    <w:rsid w:val="00617C2A"/>
    <w:rsid w:val="006444F5"/>
    <w:rsid w:val="00665548"/>
    <w:rsid w:val="00694609"/>
    <w:rsid w:val="00705771"/>
    <w:rsid w:val="0071292F"/>
    <w:rsid w:val="00781A97"/>
    <w:rsid w:val="007A08A4"/>
    <w:rsid w:val="00806F28"/>
    <w:rsid w:val="008D5AAC"/>
    <w:rsid w:val="008E52E3"/>
    <w:rsid w:val="0095427F"/>
    <w:rsid w:val="00962295"/>
    <w:rsid w:val="00A365FE"/>
    <w:rsid w:val="00A57BB5"/>
    <w:rsid w:val="00B654B3"/>
    <w:rsid w:val="00B91EA9"/>
    <w:rsid w:val="00C36FD3"/>
    <w:rsid w:val="00CA2079"/>
    <w:rsid w:val="00CE04ED"/>
    <w:rsid w:val="00D03F27"/>
    <w:rsid w:val="00D807C3"/>
    <w:rsid w:val="00D94AD0"/>
    <w:rsid w:val="00DF4B3D"/>
    <w:rsid w:val="00E464DE"/>
    <w:rsid w:val="00EA31E7"/>
    <w:rsid w:val="00ED0362"/>
    <w:rsid w:val="00F353F1"/>
    <w:rsid w:val="00FB4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81A97"/>
    <w:pPr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81A97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81A97"/>
    <w:rPr>
      <w:rFonts w:ascii="Arial" w:eastAsiaTheme="majorEastAsia" w:hAnsi="Arial" w:cstheme="majorBidi"/>
      <w:b/>
      <w:bCs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EA31E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3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31E7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EA3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semiHidden/>
    <w:unhideWhenUsed/>
    <w:rsid w:val="00712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1292F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712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292F"/>
    <w:rPr>
      <w:rFonts w:ascii="Arial" w:hAnsi="Arial"/>
      <w:sz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1292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1292F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1292F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F4B3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F4B3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F4B3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4B3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F4B3D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58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3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182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27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46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67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835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7996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921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bges.de" TargetMode="External"/><Relationship Id="rId13" Type="http://schemas.openxmlformats.org/officeDocument/2006/relationships/image" Target="media/image5.emf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5955D-12DA-4F5F-B500-A7BD01417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Geozentrum Hannover</Company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Rueckamp.D</dc:creator>
  <cp:lastModifiedBy>Stange.f</cp:lastModifiedBy>
  <cp:revision>3</cp:revision>
  <dcterms:created xsi:type="dcterms:W3CDTF">2015-10-26T17:42:00Z</dcterms:created>
  <dcterms:modified xsi:type="dcterms:W3CDTF">2015-10-29T14:19:00Z</dcterms:modified>
</cp:coreProperties>
</file>