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2B" w:rsidRDefault="0019472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F3A03" wp14:editId="76616D89">
                <wp:simplePos x="0" y="0"/>
                <wp:positionH relativeFrom="column">
                  <wp:posOffset>-90805</wp:posOffset>
                </wp:positionH>
                <wp:positionV relativeFrom="paragraph">
                  <wp:posOffset>40640</wp:posOffset>
                </wp:positionV>
                <wp:extent cx="2924175" cy="1403985"/>
                <wp:effectExtent l="0" t="0" r="28575" b="1778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72B" w:rsidRPr="008D013D" w:rsidRDefault="0019472B" w:rsidP="001947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01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Tagungsbeitrag zu:</w:t>
                            </w:r>
                            <w:r w:rsidRPr="008D01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Jahrestagung der DBG, Kommission III</w:t>
                            </w:r>
                          </w:p>
                          <w:p w:rsidR="0019472B" w:rsidRPr="008D013D" w:rsidRDefault="0019472B" w:rsidP="001947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01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Titel der Tagung:</w:t>
                            </w:r>
                            <w:r w:rsidRPr="008D01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Unsere Böden – Unser Leben</w:t>
                            </w:r>
                          </w:p>
                          <w:p w:rsidR="0019472B" w:rsidRPr="008D013D" w:rsidRDefault="0019472B" w:rsidP="001947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01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Veranstalter:</w:t>
                            </w:r>
                            <w:r w:rsidRPr="008D01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Kommission III der DBG</w:t>
                            </w:r>
                          </w:p>
                          <w:p w:rsidR="0019472B" w:rsidRPr="008D013D" w:rsidRDefault="0019472B" w:rsidP="001947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01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6.-10.09.2015 in München</w:t>
                            </w:r>
                          </w:p>
                          <w:p w:rsidR="0019472B" w:rsidRPr="008D013D" w:rsidRDefault="0019472B" w:rsidP="001947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01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Berichte der DBG:</w:t>
                            </w:r>
                            <w:r w:rsidRPr="008D01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(nicht begutachtete online Publikationen)</w:t>
                            </w:r>
                          </w:p>
                          <w:p w:rsidR="008D013D" w:rsidRPr="008D013D" w:rsidRDefault="008D013D" w:rsidP="001947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01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https:/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8D01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www.dbges.de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15pt;margin-top:3.2pt;width:23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ThJQIAAEcEAAAOAAAAZHJzL2Uyb0RvYy54bWysU9uO2yAQfa/Uf0C8N75s0k2sOKtttqkq&#10;bS/Sbj8AA45RuRVI7PTrd8DeNL29VOUBMcxwmDlnZn0zKImO3HlhdI2LWY4R19Qwofc1/vK4e7XE&#10;yAeiGZFG8xqfuMc3m5cv1r2teGk6Ixl3CEC0r3pb4y4EW2WZpx1XxM+M5RqcrXGKBDDdPmOO9ICu&#10;ZFbm+eusN45ZZyj3Hm7vRifeJPy25TR8alvPA5I1htxC2l3am7hnmzWp9o7YTtApDfIPWSgiNHx6&#10;hrojgaCDE79BKUGd8aYNM2pUZtpWUJ5qgGqK/JdqHjpieaoFyPH2TJP/f7D04/GzQ4LV+Cq/xkgT&#10;BSI98iG0XDJURn566ysIe7AQGIY3ZgCdU63e3hv61SNtth3Re37rnOk7ThjkV8SX2cXTEcdHkKb/&#10;YBh8Qw7BJKChdSqSB3QgQAedTmdtIBVE4bJclfPieoERBV8xz69Wy0X6g1TPz63z4R03CsVDjR2I&#10;n+DJ8d6HmA6pnkPib95IwXZCymS4fbOVDh0JNMourQn9pzCpUV/j1aJcjAz8FSJP608QSgToeClU&#10;jZfnIFJF3t5qlvoxECHHM6Qs9URk5G5kMQzNMAnTGHYCSp0ZOxsmEQ6dcd8x6qGra+y/HYjjGMn3&#10;GmRZFfN5HINkzBfXJRju0tNceoimAFXjgNF43IY0Ookwewvy7UQiNuo8ZjLlCt2a+J4mK47DpZ2i&#10;fsz/5gkAAP//AwBQSwMEFAAGAAgAAAAhAK+WYuzeAAAACQEAAA8AAABkcnMvZG93bnJldi54bWxM&#10;j0FvgkAQhe9N+h8206QXo4sItEEW05p46klq7ys7Aik7S9lV8d93eqrHyXv53jfFZrK9uODoO0cK&#10;losIBFLtTEeNgsPnbv4KwgdNRveOUMENPWzKx4dC58ZdaY+XKjSCIeRzraANYcil9HWLVvuFG5A4&#10;O7nR6sDn2Egz6ivDbS/jKMqk1R3xQqsH3LZYf1dnqyD7qVazjy8zo/1t9z7WNjXbQ6rU89P0tgYR&#10;cAr/ZfjTZ3Uo2enozmS86BXMl8mKqwxLQHCeJFkM4qggjl9SkGUh7z8ofwEAAP//AwBQSwECLQAU&#10;AAYACAAAACEAtoM4kv4AAADhAQAAEwAAAAAAAAAAAAAAAAAAAAAAW0NvbnRlbnRfVHlwZXNdLnht&#10;bFBLAQItABQABgAIAAAAIQA4/SH/1gAAAJQBAAALAAAAAAAAAAAAAAAAAC8BAABfcmVscy8ucmVs&#10;c1BLAQItABQABgAIAAAAIQDFWCThJQIAAEcEAAAOAAAAAAAAAAAAAAAAAC4CAABkcnMvZTJvRG9j&#10;LnhtbFBLAQItABQABgAIAAAAIQCvlmLs3gAAAAkBAAAPAAAAAAAAAAAAAAAAAH8EAABkcnMvZG93&#10;bnJldi54bWxQSwUGAAAAAAQABADzAAAAigUAAAAA&#10;">
                <v:textbox style="mso-fit-shape-to-text:t">
                  <w:txbxContent>
                    <w:p w:rsidR="0019472B" w:rsidRPr="008D013D" w:rsidRDefault="0019472B" w:rsidP="0019472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01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Tagungsbeitrag zu:</w:t>
                      </w:r>
                      <w:r w:rsidRPr="008D01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Jahrestagung der DBG, Kommission III</w:t>
                      </w:r>
                    </w:p>
                    <w:p w:rsidR="0019472B" w:rsidRPr="008D013D" w:rsidRDefault="0019472B" w:rsidP="0019472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01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Titel der Tagung:</w:t>
                      </w:r>
                      <w:r w:rsidRPr="008D01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Unsere Böden – Unser Leben</w:t>
                      </w:r>
                    </w:p>
                    <w:p w:rsidR="0019472B" w:rsidRPr="008D013D" w:rsidRDefault="0019472B" w:rsidP="0019472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01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Veranstalter:</w:t>
                      </w:r>
                      <w:r w:rsidRPr="008D01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Kommission III der DBG</w:t>
                      </w:r>
                    </w:p>
                    <w:p w:rsidR="0019472B" w:rsidRPr="008D013D" w:rsidRDefault="0019472B" w:rsidP="0019472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013D">
                        <w:rPr>
                          <w:rFonts w:ascii="Arial" w:hAnsi="Arial" w:cs="Arial"/>
                          <w:sz w:val="24"/>
                          <w:szCs w:val="24"/>
                        </w:rPr>
                        <w:t>6.-10.09.2015 in München</w:t>
                      </w:r>
                    </w:p>
                    <w:p w:rsidR="0019472B" w:rsidRPr="008D013D" w:rsidRDefault="0019472B" w:rsidP="0019472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01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Berichte der DBG:</w:t>
                      </w:r>
                      <w:r w:rsidRPr="008D01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(nicht begutachtete online Publikationen)</w:t>
                      </w:r>
                    </w:p>
                    <w:p w:rsidR="008D013D" w:rsidRPr="008D013D" w:rsidRDefault="008D013D" w:rsidP="0019472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013D">
                        <w:rPr>
                          <w:rFonts w:ascii="Arial" w:hAnsi="Arial" w:cs="Arial"/>
                          <w:sz w:val="24"/>
                          <w:szCs w:val="24"/>
                        </w:rPr>
                        <w:t>https:/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Pr="008D013D">
                        <w:rPr>
                          <w:rFonts w:ascii="Arial" w:hAnsi="Arial" w:cs="Arial"/>
                          <w:sz w:val="24"/>
                          <w:szCs w:val="24"/>
                        </w:rPr>
                        <w:t>www.dbges.de</w:t>
                      </w:r>
                    </w:p>
                  </w:txbxContent>
                </v:textbox>
              </v:shape>
            </w:pict>
          </mc:Fallback>
        </mc:AlternateContent>
      </w:r>
    </w:p>
    <w:p w:rsidR="0019472B" w:rsidRDefault="0019472B">
      <w:r>
        <w:t xml:space="preserve">                                                              </w:t>
      </w:r>
    </w:p>
    <w:p w:rsidR="008B60CB" w:rsidRDefault="00BE714D"/>
    <w:p w:rsidR="0019472B" w:rsidRDefault="0019472B"/>
    <w:p w:rsidR="0019472B" w:rsidRDefault="0019472B"/>
    <w:p w:rsidR="008D013D" w:rsidRDefault="008D013D"/>
    <w:p w:rsidR="00DB5FF8" w:rsidRDefault="00DB5FF8" w:rsidP="00306143">
      <w:pPr>
        <w:pStyle w:val="StandardWeb"/>
        <w:spacing w:before="0" w:beforeAutospacing="0" w:after="0" w:afterAutospacing="0" w:line="340" w:lineRule="exact"/>
        <w:jc w:val="center"/>
        <w:rPr>
          <w:rFonts w:ascii="Arial" w:eastAsia="+mn-ea" w:hAnsi="Arial" w:cs="Arial"/>
          <w:b/>
          <w:bCs/>
          <w:color w:val="000000"/>
          <w:kern w:val="24"/>
        </w:rPr>
      </w:pPr>
    </w:p>
    <w:p w:rsidR="008D013D" w:rsidRDefault="008D013D" w:rsidP="00306143">
      <w:pPr>
        <w:pStyle w:val="StandardWeb"/>
        <w:spacing w:before="0" w:beforeAutospacing="0" w:after="0" w:afterAutospacing="0" w:line="340" w:lineRule="exact"/>
        <w:jc w:val="center"/>
        <w:rPr>
          <w:rFonts w:ascii="Arial" w:eastAsia="+mn-ea" w:hAnsi="Arial" w:cs="Arial"/>
          <w:b/>
          <w:bCs/>
          <w:color w:val="000000"/>
          <w:kern w:val="24"/>
        </w:rPr>
      </w:pPr>
      <w:r w:rsidRPr="008D013D">
        <w:rPr>
          <w:rFonts w:ascii="Arial" w:eastAsia="+mn-ea" w:hAnsi="Arial" w:cs="Arial"/>
          <w:b/>
          <w:bCs/>
          <w:color w:val="000000"/>
          <w:kern w:val="24"/>
        </w:rPr>
        <w:t>Aktiv</w:t>
      </w:r>
      <w:r>
        <w:rPr>
          <w:rFonts w:ascii="Arial" w:eastAsia="+mn-ea" w:hAnsi="Arial" w:cs="Arial"/>
          <w:b/>
          <w:bCs/>
          <w:color w:val="000000"/>
          <w:kern w:val="24"/>
        </w:rPr>
        <w:t>ität der Bodenenzyme in anthrop</w:t>
      </w:r>
      <w:r w:rsidRPr="008D013D">
        <w:rPr>
          <w:rFonts w:ascii="Arial" w:eastAsia="+mn-ea" w:hAnsi="Arial" w:cs="Arial"/>
          <w:b/>
          <w:bCs/>
          <w:color w:val="000000"/>
          <w:kern w:val="24"/>
        </w:rPr>
        <w:t>ogen beeinflussten städtischen Böden am Be</w:t>
      </w:r>
      <w:r>
        <w:rPr>
          <w:rFonts w:ascii="Arial" w:eastAsia="+mn-ea" w:hAnsi="Arial" w:cs="Arial"/>
          <w:b/>
          <w:bCs/>
          <w:color w:val="000000"/>
          <w:kern w:val="24"/>
        </w:rPr>
        <w:t xml:space="preserve">ispiel des Ballungsraums </w:t>
      </w:r>
      <w:proofErr w:type="spellStart"/>
      <w:r>
        <w:rPr>
          <w:rFonts w:ascii="Arial" w:eastAsia="+mn-ea" w:hAnsi="Arial" w:cs="Arial"/>
          <w:b/>
          <w:bCs/>
          <w:color w:val="000000"/>
          <w:kern w:val="24"/>
        </w:rPr>
        <w:t>Rostov</w:t>
      </w:r>
      <w:proofErr w:type="spellEnd"/>
      <w:r>
        <w:rPr>
          <w:rFonts w:ascii="Arial" w:eastAsia="+mn-ea" w:hAnsi="Arial" w:cs="Arial"/>
          <w:b/>
          <w:bCs/>
          <w:color w:val="000000"/>
          <w:kern w:val="24"/>
        </w:rPr>
        <w:t xml:space="preserve"> am </w:t>
      </w:r>
      <w:r w:rsidRPr="008D013D">
        <w:rPr>
          <w:rFonts w:ascii="Arial" w:eastAsia="+mn-ea" w:hAnsi="Arial" w:cs="Arial"/>
          <w:b/>
          <w:bCs/>
          <w:color w:val="000000"/>
          <w:kern w:val="24"/>
        </w:rPr>
        <w:t>Don (Südru</w:t>
      </w:r>
      <w:r w:rsidR="004D61E8">
        <w:rPr>
          <w:rFonts w:ascii="Arial" w:eastAsia="+mn-ea" w:hAnsi="Arial" w:cs="Arial"/>
          <w:b/>
          <w:bCs/>
          <w:color w:val="000000"/>
          <w:kern w:val="24"/>
        </w:rPr>
        <w:t>ss</w:t>
      </w:r>
      <w:r w:rsidRPr="008D013D">
        <w:rPr>
          <w:rFonts w:ascii="Arial" w:eastAsia="+mn-ea" w:hAnsi="Arial" w:cs="Arial"/>
          <w:b/>
          <w:bCs/>
          <w:color w:val="000000"/>
          <w:kern w:val="24"/>
        </w:rPr>
        <w:t xml:space="preserve">land) </w:t>
      </w:r>
    </w:p>
    <w:p w:rsidR="004D61E8" w:rsidRPr="008D013D" w:rsidRDefault="004D61E8" w:rsidP="00E00EB5">
      <w:pPr>
        <w:pStyle w:val="StandardWeb"/>
        <w:spacing w:before="0" w:beforeAutospacing="0" w:after="0" w:afterAutospacing="0" w:line="200" w:lineRule="exact"/>
        <w:jc w:val="center"/>
        <w:rPr>
          <w:rFonts w:ascii="Arial" w:hAnsi="Arial" w:cs="Arial"/>
        </w:rPr>
      </w:pPr>
    </w:p>
    <w:p w:rsidR="008D013D" w:rsidRDefault="008D013D" w:rsidP="00306143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 w:rsidRPr="008D013D">
        <w:rPr>
          <w:rFonts w:ascii="Arial" w:hAnsi="Arial" w:cs="Arial"/>
          <w:sz w:val="24"/>
          <w:szCs w:val="24"/>
        </w:rPr>
        <w:t>S. Gorbov</w:t>
      </w:r>
      <w:r w:rsidRPr="004D61E8">
        <w:rPr>
          <w:rFonts w:ascii="Arial" w:hAnsi="Arial" w:cs="Arial"/>
          <w:sz w:val="24"/>
          <w:szCs w:val="24"/>
          <w:vertAlign w:val="superscript"/>
        </w:rPr>
        <w:t>1</w:t>
      </w:r>
      <w:r w:rsidRPr="008D013D">
        <w:rPr>
          <w:rFonts w:ascii="Arial" w:hAnsi="Arial" w:cs="Arial"/>
          <w:sz w:val="24"/>
          <w:szCs w:val="24"/>
        </w:rPr>
        <w:t>, M. Anisimova</w:t>
      </w:r>
      <w:r w:rsidRPr="004D61E8">
        <w:rPr>
          <w:rFonts w:ascii="Arial" w:hAnsi="Arial" w:cs="Arial"/>
          <w:sz w:val="24"/>
          <w:szCs w:val="24"/>
          <w:vertAlign w:val="superscript"/>
        </w:rPr>
        <w:t>2</w:t>
      </w:r>
      <w:r w:rsidRPr="008D013D">
        <w:rPr>
          <w:rFonts w:ascii="Arial" w:hAnsi="Arial" w:cs="Arial"/>
          <w:sz w:val="24"/>
          <w:szCs w:val="24"/>
        </w:rPr>
        <w:t xml:space="preserve">, </w:t>
      </w:r>
    </w:p>
    <w:p w:rsidR="008D013D" w:rsidRPr="008D013D" w:rsidRDefault="008D013D" w:rsidP="00306143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 w:rsidRPr="008D013D">
        <w:rPr>
          <w:rFonts w:ascii="Arial" w:hAnsi="Arial" w:cs="Arial"/>
          <w:sz w:val="24"/>
          <w:szCs w:val="24"/>
        </w:rPr>
        <w:t>O. Bezuglova</w:t>
      </w:r>
      <w:r w:rsidRPr="004D61E8">
        <w:rPr>
          <w:rFonts w:ascii="Arial" w:hAnsi="Arial" w:cs="Arial"/>
          <w:sz w:val="24"/>
          <w:szCs w:val="24"/>
          <w:vertAlign w:val="superscript"/>
        </w:rPr>
        <w:t>1</w:t>
      </w:r>
      <w:r w:rsidRPr="008D013D">
        <w:rPr>
          <w:rFonts w:ascii="Arial" w:hAnsi="Arial" w:cs="Arial"/>
          <w:sz w:val="24"/>
          <w:szCs w:val="24"/>
        </w:rPr>
        <w:t>, B. Marschner</w:t>
      </w:r>
      <w:r w:rsidRPr="004D61E8">
        <w:rPr>
          <w:rFonts w:ascii="Arial" w:hAnsi="Arial" w:cs="Arial"/>
          <w:sz w:val="24"/>
          <w:szCs w:val="24"/>
          <w:vertAlign w:val="superscript"/>
        </w:rPr>
        <w:t>2</w:t>
      </w:r>
      <w:r w:rsidRPr="008D013D">
        <w:rPr>
          <w:rFonts w:ascii="Arial" w:hAnsi="Arial" w:cs="Arial"/>
          <w:sz w:val="24"/>
          <w:szCs w:val="24"/>
        </w:rPr>
        <w:t xml:space="preserve">, N. </w:t>
      </w:r>
      <w:r>
        <w:rPr>
          <w:rFonts w:ascii="Arial" w:hAnsi="Arial" w:cs="Arial"/>
          <w:sz w:val="24"/>
          <w:szCs w:val="24"/>
        </w:rPr>
        <w:t>Giro</w:t>
      </w:r>
      <w:r w:rsidRPr="004D61E8">
        <w:rPr>
          <w:rFonts w:ascii="Arial" w:hAnsi="Arial" w:cs="Arial"/>
          <w:sz w:val="24"/>
          <w:szCs w:val="24"/>
          <w:vertAlign w:val="superscript"/>
        </w:rPr>
        <w:t>1</w:t>
      </w:r>
    </w:p>
    <w:p w:rsidR="004D1601" w:rsidRPr="006F5F2C" w:rsidRDefault="004D1601" w:rsidP="004D1601">
      <w:pPr>
        <w:spacing w:after="0" w:line="360" w:lineRule="auto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</w:p>
    <w:p w:rsidR="004D1601" w:rsidRPr="00DB5FF8" w:rsidRDefault="004D1601" w:rsidP="00063A48">
      <w:pPr>
        <w:spacing w:after="0" w:line="340" w:lineRule="exact"/>
        <w:jc w:val="both"/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</w:pPr>
      <w:r w:rsidRPr="00DB5FF8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>Zusammenfassung</w:t>
      </w:r>
    </w:p>
    <w:p w:rsidR="00E00EB5" w:rsidRDefault="007E4F12" w:rsidP="00E00EB5">
      <w:pPr>
        <w:spacing w:after="0" w:line="340" w:lineRule="exact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A</w:t>
      </w:r>
      <w:r w:rsidRPr="007E4F12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uf dem Territorium der Stadt </w:t>
      </w:r>
      <w:proofErr w:type="spellStart"/>
      <w:r w:rsidRPr="007E4F12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Rostov</w:t>
      </w:r>
      <w:proofErr w:type="spellEnd"/>
      <w:r w:rsidRPr="007E4F12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am Don (Südru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ss</w:t>
      </w:r>
      <w:r w:rsidRPr="007E4F12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land) 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wurden </w:t>
      </w:r>
      <w:r w:rsidRPr="007E4F12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Bodenproben aus 5 </w:t>
      </w:r>
      <w:r w:rsidR="00956F4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unterschiedlich anthropogen beeinflussten </w:t>
      </w:r>
      <w:r w:rsidRPr="007E4F12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Bodenprofilen bis zu einer Tiefe von 130-170 cm genommen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. </w:t>
      </w:r>
      <w:r w:rsidR="00F77220" w:rsidRPr="00F7722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Aktivitäten von 9 </w:t>
      </w:r>
      <w:proofErr w:type="spellStart"/>
      <w:r w:rsidR="00F77220" w:rsidRPr="00F7722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Bodenexoenzymen</w:t>
      </w:r>
      <w:proofErr w:type="spellEnd"/>
      <w:r w:rsidR="00F7722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156049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(</w:t>
      </w:r>
      <w:r w:rsidR="00156049" w:rsidRPr="00156049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>EEA</w:t>
      </w:r>
      <w:r w:rsidR="009E4681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>)</w:t>
      </w:r>
      <w:r w:rsidR="00156049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9E4681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(</w:t>
      </w:r>
      <w:r w:rsidR="00F77220" w:rsidRPr="00F7722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C-, N-, P-, und S- Kreislauf), </w:t>
      </w:r>
      <w:proofErr w:type="spellStart"/>
      <w:r w:rsidR="00F77220" w:rsidRPr="00F7722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Peroxidase</w:t>
      </w:r>
      <w:proofErr w:type="spellEnd"/>
      <w:r w:rsidR="00F77220" w:rsidRPr="00F7722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-</w:t>
      </w:r>
      <w:r w:rsidR="00E00EB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156049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(</w:t>
      </w:r>
      <w:r w:rsidR="00156049" w:rsidRPr="00BE66C9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>PE</w:t>
      </w:r>
      <w:r w:rsidR="00156049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)</w:t>
      </w:r>
      <w:r w:rsidR="00E00EB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1723D9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und</w:t>
      </w:r>
      <w:r w:rsidR="00E00EB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E00EB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</w:t>
      </w:r>
      <w:r w:rsidR="00F77220" w:rsidRPr="00F7722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henoloxidase</w:t>
      </w:r>
      <w:proofErr w:type="spellEnd"/>
      <w:r w:rsidR="00E00EB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-</w:t>
      </w:r>
      <w:r w:rsidR="00F77220" w:rsidRPr="00F7722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aktivität </w:t>
      </w:r>
      <w:r w:rsidR="00156049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(</w:t>
      </w:r>
      <w:proofErr w:type="spellStart"/>
      <w:r w:rsidR="00156049" w:rsidRPr="00BE66C9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>PhO</w:t>
      </w:r>
      <w:proofErr w:type="spellEnd"/>
      <w:r w:rsidR="00156049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) </w:t>
      </w:r>
      <w:r w:rsidR="00F77220" w:rsidRPr="00F7722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und Gehalt </w:t>
      </w:r>
      <w:r w:rsidR="003D705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an</w:t>
      </w:r>
      <w:r w:rsidR="00956F4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organische</w:t>
      </w:r>
      <w:r w:rsidR="00AC197B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m</w:t>
      </w:r>
      <w:r w:rsidR="00956F4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Kohlenstoff</w:t>
      </w:r>
      <w:r w:rsidR="00F77220" w:rsidRPr="00F7722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6048FD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(</w:t>
      </w:r>
      <w:proofErr w:type="spellStart"/>
      <w:r w:rsidR="006048FD" w:rsidRPr="006048FD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>C</w:t>
      </w:r>
      <w:r w:rsidR="006048FD" w:rsidRPr="006048FD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vertAlign w:val="subscript"/>
        </w:rPr>
        <w:t>org</w:t>
      </w:r>
      <w:proofErr w:type="spellEnd"/>
      <w:r w:rsidR="006048FD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) </w:t>
      </w:r>
      <w:r w:rsidR="00F77220" w:rsidRPr="00F77220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wurden bestimmt mit dem Ziel, </w:t>
      </w:r>
      <w:r w:rsidR="00956F4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den Effekt der Störung auf die enzymatische Aktivität des Bodens zu ermitteln. </w:t>
      </w:r>
      <w:r w:rsidR="008D25D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Die </w:t>
      </w:r>
      <w:r w:rsidR="00156049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EEA </w:t>
      </w:r>
      <w:r w:rsidR="008D25D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nahm </w:t>
      </w:r>
      <w:r w:rsidR="00156049" w:rsidRPr="00156049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generell mit der Tiefe ab</w:t>
      </w:r>
      <w:r w:rsidR="009174E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, und d</w:t>
      </w:r>
      <w:r w:rsidR="009174E6" w:rsidRPr="009174E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ie stark anthropogen beeinflussten Böden </w:t>
      </w:r>
      <w:r w:rsidR="009174E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(</w:t>
      </w:r>
      <w:proofErr w:type="spellStart"/>
      <w:r w:rsidR="009174E6" w:rsidRPr="00BE66C9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>Urbic</w:t>
      </w:r>
      <w:proofErr w:type="spellEnd"/>
      <w:r w:rsidR="009174E6" w:rsidRPr="00BE66C9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9174E6" w:rsidRPr="00BE66C9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>Technosol</w:t>
      </w:r>
      <w:r w:rsidR="00BE66C9" w:rsidRPr="00BE66C9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>s</w:t>
      </w:r>
      <w:proofErr w:type="spellEnd"/>
      <w:r w:rsidR="009174E6" w:rsidRPr="00BE66C9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9174E6" w:rsidRPr="00BE66C9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>Molic</w:t>
      </w:r>
      <w:proofErr w:type="spellEnd"/>
      <w:r w:rsidR="009174E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)</w:t>
      </w:r>
      <w:r w:rsidR="009174E6" w:rsidRPr="009174E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zeigten um ca. 80% niedrigere Aktivität im Vergleich zu den </w:t>
      </w:r>
      <w:r w:rsidR="00E00EB5" w:rsidRPr="00E00EB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schwach anthropogen beeinflussten Böden  (</w:t>
      </w:r>
      <w:proofErr w:type="spellStart"/>
      <w:r w:rsidR="00E00EB5" w:rsidRPr="00E00EB5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>Calcic</w:t>
      </w:r>
      <w:proofErr w:type="spellEnd"/>
      <w:r w:rsidR="00E00EB5" w:rsidRPr="00E00EB5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E00EB5" w:rsidRPr="00E00EB5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</w:rPr>
        <w:t>Chernozems</w:t>
      </w:r>
      <w:proofErr w:type="spellEnd"/>
      <w:r w:rsidR="00E00EB5" w:rsidRPr="00E00EB5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).</w:t>
      </w:r>
    </w:p>
    <w:p w:rsidR="00E00EB5" w:rsidRDefault="00E00EB5" w:rsidP="00E00EB5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---------------------------------------------------------------------------------------------------------------</w:t>
      </w:r>
    </w:p>
    <w:p w:rsidR="00E00EB5" w:rsidRPr="004D61E8" w:rsidRDefault="00E00EB5" w:rsidP="00E00EB5">
      <w:pPr>
        <w:spacing w:after="0" w:line="240" w:lineRule="auto"/>
        <w:rPr>
          <w:rFonts w:ascii="Arial" w:eastAsia="+mn-ea" w:hAnsi="Arial" w:cs="Arial"/>
          <w:iCs/>
          <w:color w:val="000000"/>
          <w:kern w:val="24"/>
          <w:sz w:val="18"/>
          <w:szCs w:val="18"/>
        </w:rPr>
      </w:pPr>
      <w:r w:rsidRPr="004D61E8">
        <w:rPr>
          <w:rFonts w:ascii="Arial" w:hAnsi="Arial" w:cs="Arial"/>
          <w:sz w:val="18"/>
          <w:szCs w:val="18"/>
          <w:vertAlign w:val="superscript"/>
        </w:rPr>
        <w:t>1</w:t>
      </w:r>
      <w:r w:rsidRPr="004D61E8"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 xml:space="preserve">Südliche Föderale Universität, Akademie für Biologie und Biotechnologie, </w:t>
      </w:r>
      <w:proofErr w:type="spellStart"/>
      <w:r w:rsidRPr="004D61E8"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>Pr</w:t>
      </w:r>
      <w:proofErr w:type="spellEnd"/>
      <w:r w:rsidRPr="004D61E8"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 xml:space="preserve">. </w:t>
      </w:r>
      <w:proofErr w:type="spellStart"/>
      <w:r w:rsidRPr="004D61E8"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>Stachki</w:t>
      </w:r>
      <w:proofErr w:type="spellEnd"/>
      <w:r w:rsidRPr="004D61E8"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 xml:space="preserve"> 194/1,</w:t>
      </w:r>
      <w:r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 xml:space="preserve"> </w:t>
      </w:r>
      <w:r w:rsidRPr="004D61E8"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 xml:space="preserve">344090 </w:t>
      </w:r>
      <w:proofErr w:type="spellStart"/>
      <w:r w:rsidRPr="004D61E8"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>Rosto</w:t>
      </w:r>
      <w:r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>v</w:t>
      </w:r>
      <w:proofErr w:type="spellEnd"/>
      <w:r w:rsidRPr="004D61E8"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 xml:space="preserve"> am Don, Ru</w:t>
      </w:r>
      <w:r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>ss</w:t>
      </w:r>
      <w:r w:rsidRPr="004D61E8"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>land</w:t>
      </w:r>
      <w:r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 xml:space="preserve">, </w:t>
      </w:r>
      <w:r w:rsidRPr="004D61E8"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>gorbow@mail.ru</w:t>
      </w:r>
    </w:p>
    <w:p w:rsidR="00E00EB5" w:rsidRDefault="00E00EB5" w:rsidP="00E00EB5">
      <w:pPr>
        <w:spacing w:after="0" w:line="240" w:lineRule="auto"/>
        <w:rPr>
          <w:rFonts w:ascii="Arial" w:eastAsia="+mn-ea" w:hAnsi="Arial" w:cs="Arial"/>
          <w:iCs/>
          <w:color w:val="000000"/>
          <w:kern w:val="24"/>
          <w:sz w:val="18"/>
          <w:szCs w:val="18"/>
        </w:rPr>
      </w:pPr>
      <w:r w:rsidRPr="004D61E8">
        <w:rPr>
          <w:rFonts w:ascii="Arial" w:hAnsi="Arial" w:cs="Arial"/>
          <w:sz w:val="18"/>
          <w:szCs w:val="18"/>
          <w:vertAlign w:val="superscript"/>
        </w:rPr>
        <w:t>2</w:t>
      </w:r>
      <w:r w:rsidRPr="004D61E8"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>Ruhr-Universität Bochum, Geographisches Institut, Bodenkunde/Bodenökologie,</w:t>
      </w:r>
      <w:r w:rsidRPr="004D61E8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r w:rsidRPr="004D61E8"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>Universitätsstr. 150</w:t>
      </w:r>
      <w:r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 xml:space="preserve">, </w:t>
      </w:r>
      <w:r w:rsidRPr="004D61E8"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>44801 Bochum</w:t>
      </w:r>
      <w:r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>,</w:t>
      </w:r>
      <w:r w:rsidRPr="004D61E8"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 xml:space="preserve"> Deutschland</w:t>
      </w:r>
      <w:r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 xml:space="preserve">, </w:t>
      </w:r>
      <w:r w:rsidRPr="004D1601">
        <w:rPr>
          <w:rFonts w:ascii="Arial" w:eastAsia="+mn-ea" w:hAnsi="Arial" w:cs="Arial"/>
          <w:iCs/>
          <w:color w:val="000000"/>
          <w:kern w:val="24"/>
          <w:sz w:val="18"/>
          <w:szCs w:val="18"/>
        </w:rPr>
        <w:t>marina.anisimova@mail.ru</w:t>
      </w:r>
    </w:p>
    <w:p w:rsidR="00956F47" w:rsidRDefault="009174E6" w:rsidP="00F77220">
      <w:pPr>
        <w:spacing w:after="0" w:line="340" w:lineRule="exact"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lastRenderedPageBreak/>
        <w:t xml:space="preserve">Für </w:t>
      </w:r>
      <w:r w:rsidRPr="009174E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PE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und</w:t>
      </w:r>
      <w:r w:rsidRPr="009174E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9174E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PhO</w:t>
      </w:r>
      <w:proofErr w:type="spellEnd"/>
      <w:r w:rsidRPr="009174E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wurde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Pr="009174E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kein deutlicher Zusammenhang mit </w:t>
      </w:r>
      <w:proofErr w:type="spellStart"/>
      <w:r w:rsidRPr="009174E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C</w:t>
      </w:r>
      <w:r w:rsidRPr="009174E6">
        <w:rPr>
          <w:rFonts w:ascii="Arial" w:eastAsiaTheme="minorEastAsia" w:hAnsi="Arial" w:cs="Arial"/>
          <w:color w:val="000000" w:themeColor="text1"/>
          <w:kern w:val="24"/>
          <w:sz w:val="24"/>
          <w:szCs w:val="24"/>
          <w:vertAlign w:val="subscript"/>
        </w:rPr>
        <w:t>org</w:t>
      </w:r>
      <w:proofErr w:type="spellEnd"/>
      <w:r w:rsidRPr="009174E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festgestellt. Die tiefer liegenden Horizonte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zwei Profile </w:t>
      </w:r>
      <w:r w:rsidRPr="009174E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mit dem niedrigsten </w:t>
      </w:r>
      <w:proofErr w:type="spellStart"/>
      <w:r w:rsidR="006048FD" w:rsidRPr="006048FD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C</w:t>
      </w:r>
      <w:r w:rsidR="006048FD" w:rsidRPr="006048F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vertAlign w:val="subscript"/>
        </w:rPr>
        <w:t>org</w:t>
      </w:r>
      <w:proofErr w:type="spellEnd"/>
      <w:r w:rsidR="006048FD" w:rsidRPr="006048FD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Pr="009174E6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-Gehalt wiesen eine erhöhte Aktivität dieser Enzyme auf.</w:t>
      </w:r>
    </w:p>
    <w:p w:rsidR="009174E6" w:rsidRDefault="009174E6" w:rsidP="00BE66C9">
      <w:pPr>
        <w:spacing w:after="0" w:line="340" w:lineRule="exact"/>
        <w:jc w:val="both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:rsidR="004D1601" w:rsidRDefault="004D1601" w:rsidP="00F77220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DB5FF8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>Schlüsselworte</w:t>
      </w:r>
      <w:r w:rsidR="007E4F12" w:rsidRPr="00DB5FF8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>:</w:t>
      </w:r>
      <w:r w:rsidR="007E4F12" w:rsidRPr="0030614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Städtische Böden,</w:t>
      </w:r>
      <w:r w:rsidR="007E4F12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proofErr w:type="spellStart"/>
      <w:r w:rsidR="007E4F12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T</w:t>
      </w:r>
      <w:r w:rsidR="007E4F12" w:rsidRPr="007E4F12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schernosem</w:t>
      </w:r>
      <w:r w:rsidR="007E4F12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e</w:t>
      </w:r>
      <w:proofErr w:type="spellEnd"/>
      <w:r w:rsidR="007E4F12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, Aktivität der Bodenenzyme</w:t>
      </w:r>
      <w:r w:rsidR="00BE66C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.</w:t>
      </w:r>
    </w:p>
    <w:p w:rsidR="00BE66C9" w:rsidRDefault="00BE66C9" w:rsidP="00F77220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</w:p>
    <w:p w:rsidR="00063A48" w:rsidRPr="00DB5FF8" w:rsidRDefault="00C66639" w:rsidP="00F77220">
      <w:pPr>
        <w:spacing w:after="0" w:line="340" w:lineRule="exact"/>
        <w:jc w:val="both"/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</w:pPr>
      <w:r w:rsidRPr="00DB5FF8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>Einleitung</w:t>
      </w:r>
    </w:p>
    <w:p w:rsidR="00C66639" w:rsidRDefault="00C66639" w:rsidP="00F77220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C6663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Die in Südru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ss</w:t>
      </w:r>
      <w:r w:rsidRPr="00C6663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land weit verbreitete</w:t>
      </w:r>
      <w:r w:rsidR="009E468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n</w:t>
      </w:r>
      <w:r w:rsidRPr="00C6663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C6663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Tschernoseme</w:t>
      </w:r>
      <w:proofErr w:type="spellEnd"/>
      <w:r w:rsidRPr="00C6663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(</w:t>
      </w:r>
      <w:r w:rsidRPr="00C66639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Schwarzerden</w:t>
      </w:r>
      <w:r w:rsidRPr="00C6663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) sind für ihren hohen Humusgehalt und daraus folgende hohe Bodenfruchtbarkeit bekannt. Die damit verbundene hohe Aktivität der Bodenenzyme, die in humusreichen Böden im Großteil durch hydrolytische Enzyme </w:t>
      </w:r>
      <w:r w:rsidR="009E468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re</w:t>
      </w:r>
      <w:r w:rsidRPr="00C6663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präsentiert wird </w:t>
      </w:r>
      <w:r w:rsidR="00C73C64" w:rsidRPr="00C73C6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[1]</w:t>
      </w:r>
      <w:r w:rsidRPr="00C6663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,  wird außerdem durch die natürlich hohe Calciumsättigung begünstigt </w:t>
      </w:r>
      <w:r w:rsidR="00C73C64" w:rsidRPr="00C73C6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[</w:t>
      </w:r>
      <w:r w:rsidR="00C73C6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2</w:t>
      </w:r>
      <w:r w:rsidR="00C73C64" w:rsidRPr="00C73C6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]</w:t>
      </w:r>
      <w:r w:rsidRPr="00C6663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. Allerdings,</w:t>
      </w:r>
      <w:r w:rsidR="004626B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führt die</w:t>
      </w:r>
      <w:r w:rsidRPr="00C6663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Nutzung und </w:t>
      </w:r>
      <w:r w:rsidR="004626B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die </w:t>
      </w:r>
      <w:r w:rsidRPr="00C6663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damit verbundene „Neugestaltung“  dieser Böden im städtischen Raum wie z.B. in Stadtparks, auf den Stadtwiesen oder auf den „Grünen Streifen“ zwischen den Häusern zu wesentlichen </w:t>
      </w:r>
      <w:r w:rsidR="004626B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Veränderungen</w:t>
      </w:r>
      <w:r w:rsidR="004626B3" w:rsidRPr="00C6663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Pr="00C6663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in Verteilung und Intensität der Aktivität verschiedener Enzyme innerhalb des Bodenprofils, was durch die Art des anthropogenen E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i</w:t>
      </w:r>
      <w:r w:rsidRPr="00C6663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nfl</w:t>
      </w:r>
      <w:r w:rsidR="00E00EB5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u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ss</w:t>
      </w:r>
      <w:r w:rsidRPr="00C6663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es besonders stark geprägt wird.</w:t>
      </w:r>
      <w:r w:rsidR="00E00EB5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Das Ziel der vorliegenden Untersuchung war, die Wirkung dieser Einflüsse  auf </w:t>
      </w:r>
      <w:r w:rsidR="002B24F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die Aktivität der hydrolytischen und der </w:t>
      </w:r>
      <w:r w:rsidR="006048FD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o</w:t>
      </w:r>
      <w:r w:rsidR="002B24F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xidativen Bodenenzyme zu ermitteln und den möglichen Zusammenhang zwischen der Aktivität, dem Kohlenstoffgehalt und dem Grad des anthropogenen Einflusses herauszufinden.  </w:t>
      </w:r>
    </w:p>
    <w:p w:rsidR="002B24FA" w:rsidRDefault="002B24FA" w:rsidP="00F77220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</w:p>
    <w:p w:rsidR="001D5391" w:rsidRDefault="001D5391" w:rsidP="001D5391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DB5FF8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 xml:space="preserve">Material </w:t>
      </w:r>
      <w:r w:rsidR="00C73C64" w:rsidRPr="00DB5FF8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>und</w:t>
      </w:r>
      <w:r w:rsidR="00DB5FF8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 xml:space="preserve"> Methoden</w:t>
      </w:r>
      <w:r w:rsidRPr="00DB5FF8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</w:p>
    <w:p w:rsidR="006710CA" w:rsidRDefault="001D5391" w:rsidP="001D5391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Die Bodenproben wurden aus 5 Bodenprofilen auf dem Territorium der </w:t>
      </w:r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lastRenderedPageBreak/>
        <w:t xml:space="preserve">Stadt </w:t>
      </w:r>
      <w:proofErr w:type="spellStart"/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Rostov</w:t>
      </w:r>
      <w:proofErr w:type="spellEnd"/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am Don (Südru</w:t>
      </w:r>
      <w:r w:rsidR="00C73C6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ss</w:t>
      </w:r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land) bis zu einer Tiefe von 130-170</w:t>
      </w:r>
      <w:r w:rsidR="007F0873" w:rsidRPr="007F087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 </w:t>
      </w:r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cm genommen: </w:t>
      </w:r>
    </w:p>
    <w:p w:rsidR="006710CA" w:rsidRDefault="006710CA" w:rsidP="001D5391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1) </w:t>
      </w:r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schwach anthropogen beeinflusst (</w:t>
      </w:r>
      <w:proofErr w:type="spellStart"/>
      <w:r w:rsidR="001D5391" w:rsidRPr="00C73C6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Calcic</w:t>
      </w:r>
      <w:proofErr w:type="spellEnd"/>
      <w:r w:rsidR="001D5391" w:rsidRPr="00C73C6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="001D5391" w:rsidRPr="00C73C6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Chernozems</w:t>
      </w:r>
      <w:proofErr w:type="spellEnd"/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nach WRB): Ackerbrache (10 Jahre alt, Stadtrand), Stadtpark (Hang), Stadtpark (Hügel); </w:t>
      </w:r>
    </w:p>
    <w:p w:rsidR="00346B22" w:rsidRDefault="006710CA" w:rsidP="00AC334B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2) </w:t>
      </w:r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stark anthropogen beeinflusst (</w:t>
      </w:r>
      <w:proofErr w:type="spellStart"/>
      <w:r w:rsidR="001D5391" w:rsidRPr="00C73C6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Urbic</w:t>
      </w:r>
      <w:proofErr w:type="spellEnd"/>
      <w:r w:rsidR="001D5391" w:rsidRPr="00C73C6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="001D5391" w:rsidRPr="00C73C6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Technosols</w:t>
      </w:r>
      <w:proofErr w:type="spellEnd"/>
      <w:r w:rsidR="001D5391" w:rsidRPr="00C73C6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="001D5391" w:rsidRPr="00C73C6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Molic</w:t>
      </w:r>
      <w:proofErr w:type="spellEnd"/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nach WRB):  “Grüner Streifen” zwischen den Häusern, Stadtrasen.</w:t>
      </w:r>
      <w:r w:rsidR="00C73C6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</w:p>
    <w:p w:rsidR="00795D77" w:rsidRDefault="00795D77" w:rsidP="00AC334B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795D7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Aktivitäten von 9 </w:t>
      </w:r>
      <w:proofErr w:type="spellStart"/>
      <w:r w:rsidRPr="00795D7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Exoenzymen</w:t>
      </w:r>
      <w:proofErr w:type="spellEnd"/>
      <w:r w:rsidRPr="00795D7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(</w:t>
      </w:r>
      <w:r w:rsidRPr="00795D77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EEA</w:t>
      </w:r>
      <w:r w:rsidRPr="00795D7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) (C-, N-, P-, und S- Kreislauf) mittels Fluoreszenzmethode [3], </w:t>
      </w:r>
      <w:proofErr w:type="spellStart"/>
      <w:r w:rsidRPr="00795D7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Peroxidase</w:t>
      </w:r>
      <w:proofErr w:type="spellEnd"/>
      <w:r w:rsidRPr="00795D7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- (</w:t>
      </w:r>
      <w:r w:rsidRPr="00795D77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PE</w:t>
      </w:r>
      <w:r w:rsidRPr="00795D7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) und </w:t>
      </w:r>
      <w:proofErr w:type="spellStart"/>
      <w:r w:rsidRPr="00795D7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Phenoloxidaseaktivität</w:t>
      </w:r>
      <w:proofErr w:type="spellEnd"/>
      <w:r w:rsidRPr="00795D7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(</w:t>
      </w:r>
      <w:proofErr w:type="spellStart"/>
      <w:r w:rsidRPr="00795D77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PhO</w:t>
      </w:r>
      <w:proofErr w:type="spellEnd"/>
      <w:r w:rsidRPr="00795D7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) [4]</w:t>
      </w:r>
    </w:p>
    <w:p w:rsidR="002B24FA" w:rsidRDefault="00C73C64" w:rsidP="00AC334B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und </w:t>
      </w:r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Gehalt an</w:t>
      </w:r>
      <w:r w:rsidR="00063A48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organischem Kohlenstoff</w:t>
      </w:r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="00063A48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(</w:t>
      </w:r>
      <w:proofErr w:type="spellStart"/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C</w:t>
      </w:r>
      <w:r w:rsidR="001D5391" w:rsidRPr="00C73C64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bscript"/>
        </w:rPr>
        <w:t>org</w:t>
      </w:r>
      <w:proofErr w:type="spellEnd"/>
      <w:r w:rsidR="00063A48" w:rsidRPr="00063A48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)</w:t>
      </w:r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mittels </w:t>
      </w:r>
      <w:r w:rsidR="001D5391" w:rsidRPr="006710CA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TOC-L CPH/CPN</w:t>
      </w:r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Analysator</w:t>
      </w:r>
      <w:r w:rsidR="006048FD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s</w:t>
      </w:r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(</w:t>
      </w:r>
      <w:proofErr w:type="spellStart"/>
      <w:r w:rsidR="001D5391" w:rsidRPr="00C73C6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Shimadzu</w:t>
      </w:r>
      <w:proofErr w:type="spellEnd"/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)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wurden bestimmt. </w:t>
      </w:r>
    </w:p>
    <w:p w:rsidR="004D1601" w:rsidRDefault="004D1601" w:rsidP="004D1601">
      <w:pPr>
        <w:spacing w:after="0" w:line="360" w:lineRule="auto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</w:p>
    <w:p w:rsidR="00BA546D" w:rsidRPr="00DB5FF8" w:rsidRDefault="00BA546D" w:rsidP="004D1601">
      <w:pPr>
        <w:spacing w:after="0" w:line="360" w:lineRule="auto"/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</w:pPr>
      <w:r w:rsidRPr="00DB5FF8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>Ergebnisse</w:t>
      </w:r>
    </w:p>
    <w:p w:rsidR="00BA546D" w:rsidRPr="00DB5FF8" w:rsidRDefault="001B5AA0" w:rsidP="004D1601">
      <w:pPr>
        <w:spacing w:after="0" w:line="360" w:lineRule="auto"/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</w:pPr>
      <w:r w:rsidRPr="00DB5FF8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>EEA</w:t>
      </w:r>
      <w:r w:rsidR="00193DDC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 xml:space="preserve"> (</w:t>
      </w:r>
      <w:r w:rsidR="00193DDC" w:rsidRPr="00193DDC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>C-, N-, P-, und S- Kreislauf</w:t>
      </w:r>
      <w:r w:rsidR="00193DDC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>)</w:t>
      </w:r>
    </w:p>
    <w:p w:rsidR="001B5AA0" w:rsidRDefault="008D25DA" w:rsidP="00722B6B">
      <w:pPr>
        <w:spacing w:after="0" w:line="340" w:lineRule="exact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8D25D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Wie unsere Analysen zeigten, nahm die EEA generell mit der Tiefe ab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(Abb.1)</w:t>
      </w:r>
      <w:r w:rsidR="00A8207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.</w:t>
      </w:r>
    </w:p>
    <w:p w:rsidR="00722B6B" w:rsidRDefault="00722B6B" w:rsidP="00722B6B">
      <w:pPr>
        <w:spacing w:after="0" w:line="340" w:lineRule="exact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</w:p>
    <w:p w:rsidR="008D25DA" w:rsidRPr="00722B6B" w:rsidRDefault="00AF5F97" w:rsidP="00722B6B">
      <w:pPr>
        <w:spacing w:after="0" w:line="240" w:lineRule="auto"/>
        <w:jc w:val="both"/>
        <w:rPr>
          <w:rFonts w:ascii="Arial" w:eastAsia="+mn-ea" w:hAnsi="Arial" w:cs="Arial"/>
          <w:iCs/>
          <w:color w:val="000000"/>
          <w:kern w:val="24"/>
          <w:sz w:val="20"/>
          <w:szCs w:val="20"/>
        </w:rPr>
      </w:pPr>
      <w:r w:rsidRPr="00722B6B">
        <w:rPr>
          <w:rFonts w:ascii="Arial" w:eastAsia="+mn-ea" w:hAnsi="Arial" w:cs="Arial"/>
          <w:iCs/>
          <w:color w:val="000000"/>
          <w:kern w:val="24"/>
          <w:sz w:val="20"/>
          <w:szCs w:val="20"/>
        </w:rPr>
        <w:t xml:space="preserve">Abb. 1: </w:t>
      </w:r>
      <w:r w:rsidR="00722B6B" w:rsidRPr="00722B6B">
        <w:rPr>
          <w:rFonts w:ascii="Arial" w:eastAsia="+mn-ea" w:hAnsi="Arial" w:cs="Arial"/>
          <w:iCs/>
          <w:color w:val="000000"/>
          <w:kern w:val="24"/>
          <w:sz w:val="20"/>
          <w:szCs w:val="20"/>
        </w:rPr>
        <w:t xml:space="preserve">Aktivität der extrazellularen Enzyme; in Klammern ist der mittlere Variationskoeffizient </w:t>
      </w:r>
      <w:r w:rsidR="00722B6B">
        <w:rPr>
          <w:rFonts w:ascii="Arial" w:eastAsia="+mn-ea" w:hAnsi="Arial" w:cs="Arial"/>
          <w:iCs/>
          <w:color w:val="000000"/>
          <w:kern w:val="24"/>
          <w:sz w:val="20"/>
          <w:szCs w:val="20"/>
        </w:rPr>
        <w:t xml:space="preserve">(für jedes Enzym im Profil) </w:t>
      </w:r>
      <w:r w:rsidR="00722B6B" w:rsidRPr="00722B6B">
        <w:rPr>
          <w:rFonts w:ascii="Arial" w:eastAsia="+mn-ea" w:hAnsi="Arial" w:cs="Arial"/>
          <w:iCs/>
          <w:color w:val="000000"/>
          <w:kern w:val="24"/>
          <w:sz w:val="20"/>
          <w:szCs w:val="20"/>
        </w:rPr>
        <w:t xml:space="preserve">angegeben. </w:t>
      </w:r>
    </w:p>
    <w:p w:rsidR="00AF5F97" w:rsidRDefault="005324E8" w:rsidP="004D1601">
      <w:pPr>
        <w:spacing w:after="0" w:line="360" w:lineRule="auto"/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b/>
          <w:iCs/>
          <w:noProof/>
          <w:color w:val="000000"/>
          <w:kern w:val="24"/>
          <w:sz w:val="24"/>
          <w:szCs w:val="24"/>
          <w:lang w:eastAsia="de-DE"/>
        </w:rPr>
        <w:drawing>
          <wp:inline distT="0" distB="0" distL="0" distR="0" wp14:anchorId="2CFFDEEA">
            <wp:extent cx="2847975" cy="174115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28" cy="1742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F97" w:rsidRDefault="005324E8" w:rsidP="004D1601">
      <w:pPr>
        <w:spacing w:after="0" w:line="360" w:lineRule="auto"/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b/>
          <w:iCs/>
          <w:noProof/>
          <w:color w:val="000000"/>
          <w:kern w:val="24"/>
          <w:sz w:val="24"/>
          <w:szCs w:val="24"/>
          <w:lang w:eastAsia="de-DE"/>
        </w:rPr>
        <w:drawing>
          <wp:inline distT="0" distB="0" distL="0" distR="0" wp14:anchorId="6E6CF392">
            <wp:extent cx="2847975" cy="1744549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35" cy="175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F97" w:rsidRDefault="00AF5F97" w:rsidP="004D1601">
      <w:pPr>
        <w:spacing w:after="0" w:line="360" w:lineRule="auto"/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b/>
          <w:iCs/>
          <w:noProof/>
          <w:color w:val="000000"/>
          <w:kern w:val="24"/>
          <w:sz w:val="24"/>
          <w:szCs w:val="24"/>
          <w:lang w:eastAsia="de-DE"/>
        </w:rPr>
        <w:lastRenderedPageBreak/>
        <w:drawing>
          <wp:inline distT="0" distB="0" distL="0" distR="0" wp14:anchorId="40961C41">
            <wp:extent cx="2850562" cy="1733550"/>
            <wp:effectExtent l="0" t="0" r="698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44" cy="1734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F97" w:rsidRDefault="00AF5F97" w:rsidP="004D1601">
      <w:pPr>
        <w:spacing w:after="0" w:line="360" w:lineRule="auto"/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b/>
          <w:iCs/>
          <w:noProof/>
          <w:color w:val="000000"/>
          <w:kern w:val="24"/>
          <w:sz w:val="24"/>
          <w:szCs w:val="24"/>
          <w:lang w:eastAsia="de-DE"/>
        </w:rPr>
        <w:drawing>
          <wp:inline distT="0" distB="0" distL="0" distR="0" wp14:anchorId="59BDC2AB">
            <wp:extent cx="2847975" cy="1743201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28" cy="174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F97" w:rsidRDefault="00AF5F97" w:rsidP="004D1601">
      <w:pPr>
        <w:spacing w:after="0" w:line="360" w:lineRule="auto"/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b/>
          <w:iCs/>
          <w:noProof/>
          <w:color w:val="000000"/>
          <w:kern w:val="24"/>
          <w:sz w:val="24"/>
          <w:szCs w:val="24"/>
          <w:lang w:eastAsia="de-DE"/>
        </w:rPr>
        <w:drawing>
          <wp:inline distT="0" distB="0" distL="0" distR="0" wp14:anchorId="21677FA0">
            <wp:extent cx="2847975" cy="1809727"/>
            <wp:effectExtent l="0" t="0" r="0" b="63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136" cy="1812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0873" w:rsidRDefault="00D35774" w:rsidP="00D35774">
      <w:pPr>
        <w:spacing w:after="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</w:pP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Die stark anthropogen beeinflussten Böden </w:t>
      </w:r>
      <w:proofErr w:type="spellStart"/>
      <w:r w:rsidRPr="00D3577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Urbic</w:t>
      </w:r>
      <w:proofErr w:type="spellEnd"/>
      <w:r w:rsidRPr="00D3577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D3577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Technosol</w:t>
      </w:r>
      <w:r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s</w:t>
      </w:r>
      <w:proofErr w:type="spellEnd"/>
      <w:r w:rsidRPr="00D3577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D3577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Molic</w:t>
      </w:r>
      <w:proofErr w:type="spellEnd"/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(“Grüner Streifen” und Stadtrasen</w:t>
      </w:r>
      <w:r w:rsidR="005D508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, Abb.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1</w:t>
      </w:r>
      <w:r w:rsidRPr="005D5087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d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,</w:t>
      </w:r>
      <w:r w:rsidRPr="005D5087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e</w:t>
      </w: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) zeigten um ca. 80% niedrigere Aktivität aller gemessenen Enzyme im Vergleich zu den Böden der 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Ackerbrache und des Stadtparks </w:t>
      </w:r>
      <w:proofErr w:type="spellStart"/>
      <w:r w:rsidRPr="00D3577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Calcic</w:t>
      </w:r>
      <w:proofErr w:type="spellEnd"/>
      <w:r w:rsidRPr="00D3577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D3577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Chernozems</w:t>
      </w:r>
      <w:proofErr w:type="spellEnd"/>
      <w:r w:rsidR="005D508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(Abb.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1</w:t>
      </w:r>
      <w:r w:rsidRPr="005D5087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a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-</w:t>
      </w:r>
      <w:r w:rsidRPr="005D5087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c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)</w:t>
      </w: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. Die oberen Bodenhorizonte </w:t>
      </w:r>
      <w:r w:rsidR="005D508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aller Böden </w:t>
      </w: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mit dem höchsten Gehalt </w:t>
      </w:r>
      <w:r w:rsidR="004626B3"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a</w:t>
      </w:r>
      <w:r w:rsidR="004626B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n</w:t>
      </w:r>
      <w:r w:rsidR="004626B3"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="00AC197B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organischem </w:t>
      </w:r>
      <w:r w:rsidR="006D1B5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Kohlenstoff</w:t>
      </w: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waren durch die </w:t>
      </w:r>
      <w:bookmarkStart w:id="0" w:name="_GoBack"/>
      <w:bookmarkEnd w:id="0"/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höchste enzymatische Aktivität charakterisiert. Der fossile Horizont </w:t>
      </w:r>
      <w:proofErr w:type="spellStart"/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A</w:t>
      </w:r>
      <w:r w:rsidRPr="005D5087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bscript"/>
        </w:rPr>
        <w:t>f</w:t>
      </w:r>
      <w:proofErr w:type="spellEnd"/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(Stadtrasen, 110-135</w:t>
      </w:r>
      <w:r w:rsidR="007F0873" w:rsidRPr="007F087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 </w:t>
      </w: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cm, reich an fossilem </w:t>
      </w:r>
      <w:proofErr w:type="spellStart"/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C</w:t>
      </w:r>
      <w:r w:rsidRPr="005D5087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bscript"/>
        </w:rPr>
        <w:t>org</w:t>
      </w:r>
      <w:proofErr w:type="spellEnd"/>
      <w:r w:rsidR="005D508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, Abb.1</w:t>
      </w:r>
      <w:r w:rsidR="005D5087" w:rsidRPr="005D5087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e</w:t>
      </w: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) wies eine erhöhte </w:t>
      </w: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lastRenderedPageBreak/>
        <w:t xml:space="preserve">Aktivität auf, im Vergleich zu den darüber liegenden Horizonten. </w:t>
      </w:r>
    </w:p>
    <w:p w:rsidR="00AF5F97" w:rsidRDefault="00D35774" w:rsidP="00D35774">
      <w:pPr>
        <w:spacing w:after="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Ein</w:t>
      </w:r>
      <w:r w:rsidR="007F087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sehr hoher EEA-Gesamtwert von</w:t>
      </w:r>
      <w:r w:rsidR="007F0873" w:rsidRPr="007F087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8800</w:t>
      </w:r>
      <w:r w:rsidR="00BC1576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 </w:t>
      </w:r>
      <w:proofErr w:type="spellStart"/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nmol</w:t>
      </w:r>
      <w:proofErr w:type="spellEnd"/>
      <w:r w:rsidR="00BC1576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 </w:t>
      </w: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g</w:t>
      </w:r>
      <w:r w:rsidRPr="005D5087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perscript"/>
        </w:rPr>
        <w:t>-</w:t>
      </w:r>
      <w:r w:rsidR="005D5087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perscript"/>
        </w:rPr>
        <w:t>1</w:t>
      </w:r>
      <w:r w:rsidR="00BC1576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perscript"/>
        </w:rPr>
        <w:t> </w:t>
      </w:r>
      <w:proofErr w:type="spellStart"/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soil</w:t>
      </w:r>
      <w:proofErr w:type="spellEnd"/>
      <w:r w:rsidR="00BC1576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 </w:t>
      </w: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h</w:t>
      </w:r>
      <w:r w:rsidRPr="005D5087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perscript"/>
        </w:rPr>
        <w:t>-1</w:t>
      </w: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wurde im Horizont A</w:t>
      </w:r>
      <w:r w:rsidRPr="00BC1576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bscript"/>
        </w:rPr>
        <w:t>d</w:t>
      </w: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des </w:t>
      </w:r>
      <w:r w:rsidR="002365CD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Tschernosems </w:t>
      </w: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(</w:t>
      </w:r>
      <w:proofErr w:type="spellStart"/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C</w:t>
      </w:r>
      <w:r w:rsidRPr="005D5087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bscript"/>
        </w:rPr>
        <w:t>org</w:t>
      </w:r>
      <w:proofErr w:type="spellEnd"/>
      <w:r w:rsidR="007F0873" w:rsidRPr="007F0873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bscript"/>
        </w:rPr>
        <w:t> </w:t>
      </w:r>
      <w:r w:rsidRPr="00D3577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4%, Stadtpark (Hügel)) mit dem Großanteil von </w:t>
      </w:r>
      <w:r w:rsidRPr="005D5087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α</w:t>
      </w:r>
      <w:r w:rsidR="006D1B5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-</w:t>
      </w:r>
      <w:proofErr w:type="spellStart"/>
      <w:r w:rsidR="006D1B5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Glucosidase</w:t>
      </w:r>
      <w:proofErr w:type="spellEnd"/>
      <w:r w:rsidR="006D1B5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gemessen. So eine höhe enzymatische Aktivität könnte</w:t>
      </w:r>
      <w:r w:rsidR="002365CD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dadurch erklärt werden, dass an diesem Standort </w:t>
      </w:r>
      <w:r w:rsidR="006D1B5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vorwiegend Bäume als Lieferanten der Biomasse dienen.</w:t>
      </w:r>
    </w:p>
    <w:p w:rsidR="0015670C" w:rsidRDefault="0015670C" w:rsidP="00D35774">
      <w:pPr>
        <w:spacing w:after="0" w:line="360" w:lineRule="auto"/>
        <w:jc w:val="both"/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</w:pPr>
    </w:p>
    <w:p w:rsidR="000112AA" w:rsidRPr="001723D9" w:rsidRDefault="000112AA" w:rsidP="00D35774">
      <w:pPr>
        <w:spacing w:after="0" w:line="360" w:lineRule="auto"/>
        <w:jc w:val="both"/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</w:pPr>
      <w:r w:rsidRPr="001723D9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 xml:space="preserve">PE </w:t>
      </w:r>
      <w:r w:rsidR="00193DDC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>und</w:t>
      </w:r>
      <w:r w:rsidRPr="001723D9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1723D9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>PhO</w:t>
      </w:r>
      <w:proofErr w:type="spellEnd"/>
    </w:p>
    <w:p w:rsidR="001723D9" w:rsidRDefault="000112AA" w:rsidP="00D35774">
      <w:pPr>
        <w:spacing w:after="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0112A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Es wurde kein deutlicher Zusammenhang mit dem Gehalt an </w:t>
      </w:r>
      <w:proofErr w:type="spellStart"/>
      <w:r w:rsidRPr="000112A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C</w:t>
      </w:r>
      <w:r w:rsidRPr="000112AA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bscript"/>
        </w:rPr>
        <w:t>org</w:t>
      </w:r>
      <w:proofErr w:type="spellEnd"/>
      <w:r w:rsidRPr="000112A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festgestellt</w:t>
      </w:r>
      <w:r w:rsidR="001723D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(Abb.2</w:t>
      </w:r>
      <w:r w:rsidR="001723D9" w:rsidRPr="001723D9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a</w:t>
      </w:r>
      <w:r w:rsidR="001723D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-</w:t>
      </w:r>
      <w:r w:rsidR="001723D9" w:rsidRPr="001723D9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e</w:t>
      </w:r>
      <w:r w:rsidR="001723D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)</w:t>
      </w:r>
      <w:r w:rsidRPr="000112A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. </w:t>
      </w:r>
    </w:p>
    <w:p w:rsidR="001723D9" w:rsidRDefault="001723D9" w:rsidP="001723D9">
      <w:pPr>
        <w:spacing w:after="0" w:line="240" w:lineRule="auto"/>
        <w:rPr>
          <w:rFonts w:ascii="Arial" w:eastAsia="+mn-ea" w:hAnsi="Arial" w:cs="Arial"/>
          <w:iCs/>
          <w:color w:val="000000"/>
          <w:kern w:val="24"/>
          <w:sz w:val="20"/>
          <w:szCs w:val="20"/>
        </w:rPr>
      </w:pPr>
    </w:p>
    <w:p w:rsidR="001723D9" w:rsidRDefault="001723D9" w:rsidP="001723D9">
      <w:pPr>
        <w:spacing w:after="0" w:line="240" w:lineRule="auto"/>
        <w:rPr>
          <w:rFonts w:ascii="Arial" w:eastAsia="+mn-ea" w:hAnsi="Arial" w:cs="Arial"/>
          <w:iCs/>
          <w:color w:val="000000"/>
          <w:kern w:val="24"/>
          <w:sz w:val="20"/>
          <w:szCs w:val="20"/>
        </w:rPr>
      </w:pPr>
      <w:r w:rsidRPr="001723D9">
        <w:rPr>
          <w:rFonts w:ascii="Arial" w:eastAsia="+mn-ea" w:hAnsi="Arial" w:cs="Arial"/>
          <w:iCs/>
          <w:color w:val="000000"/>
          <w:kern w:val="24"/>
          <w:sz w:val="20"/>
          <w:szCs w:val="20"/>
        </w:rPr>
        <w:t xml:space="preserve">Abb. 2: </w:t>
      </w:r>
      <w:proofErr w:type="spellStart"/>
      <w:r w:rsidRPr="001723D9">
        <w:rPr>
          <w:rFonts w:ascii="Arial" w:eastAsia="+mn-ea" w:hAnsi="Arial" w:cs="Arial"/>
          <w:iCs/>
          <w:color w:val="000000"/>
          <w:kern w:val="24"/>
          <w:sz w:val="20"/>
          <w:szCs w:val="20"/>
        </w:rPr>
        <w:t>Peroxidase</w:t>
      </w:r>
      <w:proofErr w:type="spellEnd"/>
      <w:r w:rsidRPr="001723D9">
        <w:rPr>
          <w:rFonts w:ascii="Arial" w:eastAsia="+mn-ea" w:hAnsi="Arial" w:cs="Arial"/>
          <w:iCs/>
          <w:color w:val="000000"/>
          <w:kern w:val="24"/>
          <w:sz w:val="20"/>
          <w:szCs w:val="20"/>
        </w:rPr>
        <w:t>-</w:t>
      </w:r>
      <w:r>
        <w:rPr>
          <w:rFonts w:ascii="Arial" w:eastAsia="+mn-ea" w:hAnsi="Arial" w:cs="Arial"/>
          <w:iCs/>
          <w:color w:val="000000"/>
          <w:kern w:val="24"/>
          <w:sz w:val="20"/>
          <w:szCs w:val="20"/>
        </w:rPr>
        <w:t xml:space="preserve">und </w:t>
      </w:r>
      <w:proofErr w:type="spellStart"/>
      <w:r w:rsidRPr="001723D9">
        <w:rPr>
          <w:rFonts w:ascii="Arial" w:eastAsia="+mn-ea" w:hAnsi="Arial" w:cs="Arial"/>
          <w:iCs/>
          <w:color w:val="000000"/>
          <w:kern w:val="24"/>
          <w:sz w:val="20"/>
          <w:szCs w:val="20"/>
        </w:rPr>
        <w:t>Phenoloxidaseaktivität</w:t>
      </w:r>
      <w:proofErr w:type="spellEnd"/>
      <w:r w:rsidR="007E7A89">
        <w:rPr>
          <w:rFonts w:ascii="Arial" w:eastAsia="+mn-ea" w:hAnsi="Arial" w:cs="Arial"/>
          <w:iCs/>
          <w:color w:val="000000"/>
          <w:kern w:val="24"/>
          <w:sz w:val="20"/>
          <w:szCs w:val="20"/>
        </w:rPr>
        <w:t>,</w:t>
      </w:r>
      <w:r w:rsidRPr="001723D9">
        <w:rPr>
          <w:rFonts w:ascii="Arial" w:eastAsia="+mn-ea" w:hAnsi="Arial" w:cs="Arial"/>
          <w:iCs/>
          <w:color w:val="000000"/>
          <w:kern w:val="24"/>
          <w:sz w:val="20"/>
          <w:szCs w:val="20"/>
        </w:rPr>
        <w:t xml:space="preserve"> und organischer Kohlenstoff. </w:t>
      </w:r>
    </w:p>
    <w:p w:rsidR="00346B22" w:rsidRDefault="00346B22" w:rsidP="001723D9">
      <w:pPr>
        <w:spacing w:after="0" w:line="240" w:lineRule="auto"/>
        <w:rPr>
          <w:rFonts w:ascii="Arial" w:eastAsia="+mn-ea" w:hAnsi="Arial" w:cs="Arial"/>
          <w:iCs/>
          <w:color w:val="000000"/>
          <w:kern w:val="24"/>
          <w:sz w:val="20"/>
          <w:szCs w:val="20"/>
        </w:rPr>
      </w:pPr>
    </w:p>
    <w:p w:rsidR="001723D9" w:rsidRDefault="001C27A6" w:rsidP="001723D9">
      <w:pPr>
        <w:spacing w:after="0" w:line="240" w:lineRule="auto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iCs/>
          <w:noProof/>
          <w:color w:val="000000"/>
          <w:kern w:val="24"/>
          <w:sz w:val="24"/>
          <w:szCs w:val="24"/>
          <w:lang w:eastAsia="de-DE"/>
        </w:rPr>
        <w:drawing>
          <wp:inline distT="0" distB="0" distL="0" distR="0" wp14:anchorId="776F545F">
            <wp:extent cx="2867025" cy="196847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022" cy="19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3D9" w:rsidRDefault="001723D9" w:rsidP="001723D9">
      <w:pPr>
        <w:spacing w:after="0" w:line="240" w:lineRule="auto"/>
        <w:rPr>
          <w:rFonts w:ascii="Arial" w:eastAsia="+mn-ea" w:hAnsi="Arial" w:cs="Arial"/>
          <w:iCs/>
          <w:color w:val="000000"/>
          <w:kern w:val="24"/>
          <w:sz w:val="20"/>
          <w:szCs w:val="20"/>
        </w:rPr>
      </w:pPr>
    </w:p>
    <w:p w:rsidR="00346B22" w:rsidRPr="001723D9" w:rsidRDefault="00346B22" w:rsidP="001723D9">
      <w:pPr>
        <w:spacing w:after="0" w:line="240" w:lineRule="auto"/>
        <w:rPr>
          <w:rFonts w:ascii="Arial" w:eastAsia="+mn-ea" w:hAnsi="Arial" w:cs="Arial"/>
          <w:iCs/>
          <w:color w:val="000000"/>
          <w:kern w:val="24"/>
          <w:sz w:val="20"/>
          <w:szCs w:val="20"/>
        </w:rPr>
      </w:pPr>
    </w:p>
    <w:p w:rsidR="001723D9" w:rsidRDefault="001723D9" w:rsidP="00D35774">
      <w:pPr>
        <w:spacing w:after="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iCs/>
          <w:noProof/>
          <w:color w:val="000000"/>
          <w:kern w:val="24"/>
          <w:sz w:val="24"/>
          <w:szCs w:val="24"/>
          <w:lang w:eastAsia="de-DE"/>
        </w:rPr>
        <w:drawing>
          <wp:inline distT="0" distB="0" distL="0" distR="0" wp14:anchorId="785F2EE8">
            <wp:extent cx="2867025" cy="1980094"/>
            <wp:effectExtent l="0" t="0" r="0" b="127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515" cy="1981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3D9" w:rsidRDefault="001723D9" w:rsidP="00D35774">
      <w:pPr>
        <w:spacing w:after="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iCs/>
          <w:noProof/>
          <w:color w:val="000000"/>
          <w:kern w:val="24"/>
          <w:sz w:val="24"/>
          <w:szCs w:val="24"/>
          <w:lang w:eastAsia="de-DE"/>
        </w:rPr>
        <w:lastRenderedPageBreak/>
        <w:drawing>
          <wp:inline distT="0" distB="0" distL="0" distR="0" wp14:anchorId="5CAE5DA4">
            <wp:extent cx="2800350" cy="1916291"/>
            <wp:effectExtent l="0" t="0" r="0" b="825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23" cy="1921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3D9" w:rsidRDefault="001723D9" w:rsidP="00D35774">
      <w:pPr>
        <w:spacing w:after="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iCs/>
          <w:noProof/>
          <w:color w:val="000000"/>
          <w:kern w:val="24"/>
          <w:sz w:val="24"/>
          <w:szCs w:val="24"/>
          <w:lang w:eastAsia="de-DE"/>
        </w:rPr>
        <w:drawing>
          <wp:inline distT="0" distB="0" distL="0" distR="0" wp14:anchorId="6326ABB7">
            <wp:extent cx="2800350" cy="1934957"/>
            <wp:effectExtent l="0" t="0" r="0" b="825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34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3D9" w:rsidRDefault="001723D9" w:rsidP="00D35774">
      <w:pPr>
        <w:spacing w:after="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iCs/>
          <w:noProof/>
          <w:color w:val="000000"/>
          <w:kern w:val="24"/>
          <w:sz w:val="24"/>
          <w:szCs w:val="24"/>
          <w:lang w:eastAsia="de-DE"/>
        </w:rPr>
        <w:drawing>
          <wp:inline distT="0" distB="0" distL="0" distR="0" wp14:anchorId="1107AED2">
            <wp:extent cx="2814036" cy="2028825"/>
            <wp:effectExtent l="0" t="0" r="5715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588" cy="2033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DDC" w:rsidRDefault="000112AA" w:rsidP="001E3990">
      <w:pPr>
        <w:spacing w:after="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0112A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Die tiefer liegenden Horizonte der Profile de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r</w:t>
      </w:r>
      <w:r w:rsidRPr="000112A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relativ wenig gestörten </w:t>
      </w:r>
      <w:proofErr w:type="spellStart"/>
      <w:r w:rsidRPr="000112AA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Tschernoseme</w:t>
      </w:r>
      <w:proofErr w:type="spellEnd"/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Pr="000112A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(Stadtpark</w:t>
      </w:r>
      <w:r w:rsidR="00950C72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, Abb.2</w:t>
      </w:r>
      <w:r w:rsidR="00950C72" w:rsidRPr="00950C72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b</w:t>
      </w:r>
      <w:r w:rsidR="00950C72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, </w:t>
      </w:r>
      <w:r w:rsidR="00950C72" w:rsidRPr="00950C72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c</w:t>
      </w:r>
      <w:r w:rsidRPr="000112A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) und des 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Bodens des “Grünen</w:t>
      </w:r>
      <w:r w:rsidRPr="000112A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Streifen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s</w:t>
      </w:r>
      <w:r w:rsidRPr="000112A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” </w:t>
      </w:r>
      <w:r w:rsidR="008F754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(</w:t>
      </w:r>
      <w:proofErr w:type="spellStart"/>
      <w:r w:rsidRPr="008F7547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Urbic</w:t>
      </w:r>
      <w:proofErr w:type="spellEnd"/>
      <w:r w:rsidRPr="008F7547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8F7547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Technosol</w:t>
      </w:r>
      <w:r w:rsidR="008F7547" w:rsidRPr="008F7547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s</w:t>
      </w:r>
      <w:proofErr w:type="spellEnd"/>
      <w:r w:rsidRPr="008F7547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8F7547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Molic</w:t>
      </w:r>
      <w:proofErr w:type="spellEnd"/>
      <w:r w:rsidR="00950C72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, </w:t>
      </w:r>
      <w:r w:rsidR="00950C72" w:rsidRPr="00950C72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Abb.2</w:t>
      </w:r>
      <w:r w:rsidR="00950C72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d</w:t>
      </w:r>
      <w:r w:rsidR="008F754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)</w:t>
      </w:r>
      <w:r w:rsidRPr="000112A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mit dem niedrigsten </w:t>
      </w:r>
      <w:proofErr w:type="spellStart"/>
      <w:r w:rsidR="007E7A89" w:rsidRPr="007E7A8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C</w:t>
      </w:r>
      <w:r w:rsidR="007E7A89" w:rsidRPr="007E7A89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bscript"/>
        </w:rPr>
        <w:t>org</w:t>
      </w:r>
      <w:proofErr w:type="spellEnd"/>
      <w:r w:rsidR="007E7A89" w:rsidRPr="007E7A8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Pr="000112A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-Gehalt wiesen eine erhöhte Aktivität dieser Enzyme auf.</w:t>
      </w:r>
      <w:r w:rsidR="00776D98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="001E3990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Laut </w:t>
      </w:r>
      <w:r w:rsidR="001E3990" w:rsidRPr="001E3990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[</w:t>
      </w:r>
      <w:r w:rsidR="001E3990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5,6</w:t>
      </w:r>
      <w:r w:rsidR="001E3990" w:rsidRPr="001E3990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]</w:t>
      </w:r>
      <w:r w:rsidR="001E3990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, kann das Verhältnis P</w:t>
      </w:r>
      <w:r w:rsidR="009A373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E</w:t>
      </w:r>
      <w:r w:rsidR="001E3990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/</w:t>
      </w:r>
      <w:proofErr w:type="spellStart"/>
      <w:r w:rsidR="001E3990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P</w:t>
      </w:r>
      <w:r w:rsidR="009A373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hO</w:t>
      </w:r>
      <w:proofErr w:type="spellEnd"/>
      <w:r w:rsidR="001E3990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als relativer Koeffizient der Humusanreicherung </w:t>
      </w:r>
      <w:r w:rsidR="00B47708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(</w:t>
      </w:r>
      <w:proofErr w:type="spellStart"/>
      <w:r w:rsidR="00B47708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K</w:t>
      </w:r>
      <w:r w:rsidR="00B47708" w:rsidRPr="00B47708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bscript"/>
        </w:rPr>
        <w:t>h</w:t>
      </w:r>
      <w:proofErr w:type="spellEnd"/>
      <w:r w:rsidR="00B47708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) </w:t>
      </w:r>
      <w:r w:rsidR="001E3990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betrachtet werden. </w:t>
      </w:r>
      <w:r w:rsidR="0039721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Bei </w:t>
      </w:r>
      <w:proofErr w:type="spellStart"/>
      <w:r w:rsidR="00397217" w:rsidRPr="0039721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K</w:t>
      </w:r>
      <w:r w:rsidR="00397217" w:rsidRPr="00397217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bscript"/>
        </w:rPr>
        <w:t>h</w:t>
      </w:r>
      <w:proofErr w:type="spellEnd"/>
      <w:r w:rsidR="00397217" w:rsidRPr="0039721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&gt;1 dominier</w:t>
      </w:r>
      <w:r w:rsidR="0039721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t</w:t>
      </w:r>
      <w:r w:rsidR="00397217" w:rsidRPr="0039721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="0039721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Humusbildung; bei </w:t>
      </w:r>
      <w:proofErr w:type="spellStart"/>
      <w:r w:rsidR="00397217" w:rsidRPr="0039721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K</w:t>
      </w:r>
      <w:r w:rsidR="00397217" w:rsidRPr="00397217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bscript"/>
        </w:rPr>
        <w:t>h</w:t>
      </w:r>
      <w:proofErr w:type="spellEnd"/>
      <w:r w:rsidR="00397217" w:rsidRPr="0039721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&lt;</w:t>
      </w:r>
      <w:r w:rsidR="0039721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1 dagegen finden </w:t>
      </w:r>
      <w:r w:rsidR="006F5F2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vorwiegend </w:t>
      </w:r>
      <w:r w:rsidR="0039721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destruktive Prozesse statt.  </w:t>
      </w:r>
      <w:r w:rsidR="00B47708" w:rsidRPr="0039721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In unseren Böden </w:t>
      </w:r>
      <w:r w:rsidR="00AA4696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lag</w:t>
      </w:r>
      <w:r w:rsidR="008A1CB0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="00397217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der Koeffizient</w:t>
      </w:r>
      <w:r w:rsidR="008A1CB0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="00AA4696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in den </w:t>
      </w:r>
      <w:r w:rsidR="00AA4696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lastRenderedPageBreak/>
        <w:t xml:space="preserve">meisten </w:t>
      </w:r>
      <w:r w:rsidR="00C5524E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Horizonten</w:t>
      </w:r>
      <w:r w:rsidR="00AA4696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knapp über 1, was </w:t>
      </w:r>
      <w:r w:rsidR="00C5524E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– trotz anthropogener Einflüsse </w:t>
      </w:r>
      <w:r w:rsidR="00C5524E" w:rsidRPr="00C5524E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–</w:t>
      </w:r>
      <w:r w:rsidR="00C5524E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="00AA4696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auf</w:t>
      </w:r>
      <w:r w:rsidR="004626B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den</w:t>
      </w:r>
      <w:r w:rsidR="00AA4696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="004626B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dominierenden Prozess </w:t>
      </w:r>
      <w:r w:rsidR="00C5524E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der Humussynthese hindeutet.</w:t>
      </w:r>
    </w:p>
    <w:p w:rsidR="00C5524E" w:rsidRDefault="00C5524E" w:rsidP="001E3990">
      <w:pPr>
        <w:spacing w:after="0" w:line="360" w:lineRule="auto"/>
        <w:jc w:val="both"/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</w:pPr>
    </w:p>
    <w:p w:rsidR="00193DDC" w:rsidRDefault="00193DDC" w:rsidP="00193DDC">
      <w:pPr>
        <w:spacing w:after="0" w:line="360" w:lineRule="auto"/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</w:pPr>
      <w:r w:rsidRPr="00193DDC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>Schlussfolgerungen</w:t>
      </w:r>
    </w:p>
    <w:p w:rsidR="00193DDC" w:rsidRPr="007F0873" w:rsidRDefault="00193DDC" w:rsidP="00193DDC">
      <w:pPr>
        <w:spacing w:after="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193DDC">
        <w:rPr>
          <w:rFonts w:ascii="Calibri" w:eastAsia="+mn-ea" w:hAnsi="Calibri" w:cs="Arial"/>
          <w:iCs/>
          <w:color w:val="000000"/>
          <w:kern w:val="24"/>
          <w:sz w:val="24"/>
          <w:szCs w:val="24"/>
        </w:rPr>
        <w:t>•</w:t>
      </w:r>
      <w:r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193DDC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Urbic</w:t>
      </w:r>
      <w:proofErr w:type="spellEnd"/>
      <w:r w:rsidRPr="00193DDC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193DDC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Technosols</w:t>
      </w:r>
      <w:proofErr w:type="spellEnd"/>
      <w:r w:rsidRPr="00193DDC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193DDC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Molic</w:t>
      </w:r>
      <w:proofErr w:type="spellEnd"/>
      <w:r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(„Grüner Streifen“ und Stadtrasen) wiesen eine deutlich niedrigere 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EEA</w:t>
      </w:r>
      <w:r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auf im Vergleich zu den </w:t>
      </w:r>
      <w:proofErr w:type="spellStart"/>
      <w:r w:rsidRPr="00C73C6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Calcic</w:t>
      </w:r>
      <w:proofErr w:type="spellEnd"/>
      <w:r w:rsidRPr="00C73C6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C73C64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Chernozems</w:t>
      </w:r>
      <w:proofErr w:type="spellEnd"/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(Ackerbrache und Stadtpark)</w:t>
      </w:r>
      <w:r w:rsidR="007F0873" w:rsidRPr="007F087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.</w:t>
      </w:r>
    </w:p>
    <w:p w:rsidR="00193DDC" w:rsidRPr="00193DDC" w:rsidRDefault="00193DDC" w:rsidP="00193DDC">
      <w:pPr>
        <w:spacing w:after="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• Tendenz zur Abnahme 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der EEA </w:t>
      </w:r>
      <w:r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mit der Tiefe an allen Standorten</w:t>
      </w:r>
      <w:r w:rsidR="007F0873" w:rsidRPr="007F087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.</w:t>
      </w:r>
      <w:r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</w:p>
    <w:p w:rsidR="00193DDC" w:rsidRPr="00425EEF" w:rsidRDefault="00193DDC" w:rsidP="00193DDC">
      <w:pPr>
        <w:spacing w:after="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</w:pPr>
      <w:proofErr w:type="gramStart"/>
      <w:r w:rsidRPr="00425EE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• </w:t>
      </w:r>
      <w:proofErr w:type="spellStart"/>
      <w:r w:rsidR="007F0873" w:rsidRPr="007F0873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Erhöhte</w:t>
      </w:r>
      <w:proofErr w:type="spellEnd"/>
      <w:r w:rsidRPr="00425EE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 </w:t>
      </w:r>
      <w:r w:rsidR="00425EEF" w:rsidRPr="00425EE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EEA </w:t>
      </w:r>
      <w:r w:rsidRPr="00425EE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in </w:t>
      </w:r>
      <w:proofErr w:type="spellStart"/>
      <w:r w:rsidRPr="00425EE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fossilem</w:t>
      </w:r>
      <w:proofErr w:type="spellEnd"/>
      <w:r w:rsidRPr="00425EE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 </w:t>
      </w:r>
      <w:r w:rsidRPr="00425EEF">
        <w:rPr>
          <w:rFonts w:ascii="Arial" w:eastAsia="+mn-ea" w:hAnsi="Arial" w:cs="Arial"/>
          <w:i/>
          <w:iCs/>
          <w:color w:val="000000"/>
          <w:kern w:val="24"/>
          <w:sz w:val="24"/>
          <w:szCs w:val="24"/>
          <w:lang w:val="en-US"/>
        </w:rPr>
        <w:t>A</w:t>
      </w:r>
      <w:r w:rsidRPr="00425EE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-</w:t>
      </w:r>
      <w:proofErr w:type="spellStart"/>
      <w:r w:rsidRPr="00425EE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Horizont</w:t>
      </w:r>
      <w:proofErr w:type="spellEnd"/>
      <w:r w:rsidR="007F0873" w:rsidRPr="007F0873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.</w:t>
      </w:r>
      <w:proofErr w:type="gramEnd"/>
      <w:r w:rsidRPr="00425EE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 </w:t>
      </w:r>
    </w:p>
    <w:p w:rsidR="00193DDC" w:rsidRPr="00193DDC" w:rsidRDefault="00193DDC" w:rsidP="00193DDC">
      <w:pPr>
        <w:spacing w:after="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•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Höchste </w:t>
      </w:r>
      <w:r w:rsidR="00425EE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EEA-</w:t>
      </w:r>
      <w:r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Werte im organischen Oberbodenhorizont des Tschernosems  mit der höchsten Akkumulation von organischer Bodensubstanz (Stadtpark (Hügel)). </w:t>
      </w:r>
    </w:p>
    <w:p w:rsidR="00F067D4" w:rsidRDefault="00425EEF" w:rsidP="00193DDC">
      <w:pPr>
        <w:spacing w:after="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425EE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•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="00193DDC"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Keine deutliche Korrelation 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der PE und </w:t>
      </w:r>
      <w:proofErr w:type="spellStart"/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PhO</w:t>
      </w:r>
      <w:proofErr w:type="spellEnd"/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="00193DDC"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mit </w:t>
      </w:r>
      <w:proofErr w:type="spellStart"/>
      <w:r w:rsidR="00193DDC"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C</w:t>
      </w:r>
      <w:r w:rsidR="00193DDC" w:rsidRPr="00425EEF">
        <w:rPr>
          <w:rFonts w:ascii="Arial" w:eastAsia="+mn-ea" w:hAnsi="Arial" w:cs="Arial"/>
          <w:iCs/>
          <w:color w:val="000000"/>
          <w:kern w:val="24"/>
          <w:sz w:val="24"/>
          <w:szCs w:val="24"/>
          <w:vertAlign w:val="subscript"/>
        </w:rPr>
        <w:t>org</w:t>
      </w:r>
      <w:proofErr w:type="spellEnd"/>
      <w:r w:rsidR="00193DDC"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. </w:t>
      </w:r>
    </w:p>
    <w:p w:rsidR="00F067D4" w:rsidRDefault="00F067D4" w:rsidP="00193DDC">
      <w:pPr>
        <w:spacing w:after="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F067D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•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="0015670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D</w:t>
      </w:r>
      <w:r w:rsidR="006F3C0D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rei der Profile</w:t>
      </w:r>
      <w:r w:rsidR="004626B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zeig</w:t>
      </w:r>
      <w:r w:rsidR="00AC197B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t</w:t>
      </w:r>
      <w:r w:rsidR="004626B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en eine</w:t>
      </w:r>
      <w:r w:rsidR="006F3C0D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Zunahme der </w:t>
      </w:r>
      <w:proofErr w:type="spellStart"/>
      <w:r w:rsidR="006F3C0D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Peroxidase</w:t>
      </w:r>
      <w:proofErr w:type="spellEnd"/>
      <w:r w:rsidR="006F3C0D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- und </w:t>
      </w:r>
      <w:proofErr w:type="spellStart"/>
      <w:r w:rsidR="006F3C0D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Phenoloxidase</w:t>
      </w:r>
      <w:proofErr w:type="spellEnd"/>
      <w:r w:rsidR="0015670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-</w:t>
      </w:r>
      <w:r w:rsidR="006F3C0D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aktivität in den Tiefen von 60 bis über 100</w:t>
      </w:r>
      <w:r w:rsidR="007F0873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 </w:t>
      </w:r>
      <w:r w:rsidR="006F3C0D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cm.</w:t>
      </w:r>
    </w:p>
    <w:p w:rsidR="008A3585" w:rsidRPr="00193DDC" w:rsidRDefault="00F067D4" w:rsidP="008F722A">
      <w:pPr>
        <w:spacing w:after="12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F067D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•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="00193DDC"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Das Verhältnis </w:t>
      </w:r>
      <w:r w:rsidR="007E7A89" w:rsidRPr="007E7A89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PE/</w:t>
      </w:r>
      <w:proofErr w:type="spellStart"/>
      <w:r w:rsidR="007E7A89" w:rsidRPr="007E7A89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>PhO</w:t>
      </w:r>
      <w:proofErr w:type="spellEnd"/>
      <w:r w:rsidR="007E7A89" w:rsidRPr="007E7A89">
        <w:rPr>
          <w:rFonts w:ascii="Arial" w:eastAsia="+mn-ea" w:hAnsi="Arial" w:cs="Arial"/>
          <w:i/>
          <w:iCs/>
          <w:color w:val="000000"/>
          <w:kern w:val="24"/>
          <w:sz w:val="24"/>
          <w:szCs w:val="24"/>
        </w:rPr>
        <w:t xml:space="preserve"> </w:t>
      </w:r>
      <w:r w:rsidR="00193DDC" w:rsidRPr="00193DDC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könnte als ein zusätzlicher Parameter bei der Bestimmung der Genese von Bodenhorizonten herangezogen werden.</w:t>
      </w:r>
    </w:p>
    <w:p w:rsidR="00DF50BD" w:rsidRPr="003B328A" w:rsidRDefault="003B328A" w:rsidP="007E7A89">
      <w:pPr>
        <w:spacing w:after="0"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Zusammenfassend wird gefolgert, dass i</w:t>
      </w:r>
      <w:r w:rsidRPr="003B328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n den Städten die natürliche Transformation der organischen Bodensubstanz von anthropogenen Faktoren 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stark </w:t>
      </w:r>
      <w:r w:rsidRPr="003B328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beeinflusst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werden kann</w:t>
      </w:r>
      <w:r w:rsidRPr="003B328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. Insbesondere ist die Aktivität der Bodenenzyme von der Art </w:t>
      </w:r>
      <w:r w:rsidRPr="003B328A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lastRenderedPageBreak/>
        <w:t>der Bodennutzung und „Bodengestaltung“ abhängig.</w:t>
      </w:r>
    </w:p>
    <w:p w:rsidR="008F722A" w:rsidRPr="00DF03ED" w:rsidRDefault="008F722A" w:rsidP="004D1601">
      <w:pPr>
        <w:spacing w:after="0" w:line="360" w:lineRule="auto"/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</w:pPr>
    </w:p>
    <w:p w:rsidR="00DF50BD" w:rsidRPr="00DF03ED" w:rsidRDefault="00DF50BD" w:rsidP="004D1601">
      <w:pPr>
        <w:spacing w:after="0" w:line="360" w:lineRule="auto"/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</w:pPr>
      <w:r w:rsidRPr="00DF03ED">
        <w:rPr>
          <w:rFonts w:ascii="Arial" w:eastAsia="+mn-ea" w:hAnsi="Arial" w:cs="Arial"/>
          <w:b/>
          <w:iCs/>
          <w:color w:val="000000"/>
          <w:kern w:val="24"/>
          <w:sz w:val="24"/>
          <w:szCs w:val="24"/>
        </w:rPr>
        <w:t>Danksagung</w:t>
      </w:r>
    </w:p>
    <w:p w:rsidR="005E7AC0" w:rsidRPr="004778A9" w:rsidRDefault="005E7AC0" w:rsidP="00956C87">
      <w:pPr>
        <w:spacing w:line="360" w:lineRule="auto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4778A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Die hier vorgestellten Ergebnisse wurden im Rahmen </w:t>
      </w:r>
      <w:r w:rsidR="00956C87" w:rsidRPr="004778A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des Projektes </w:t>
      </w:r>
      <w:r w:rsidR="00956C87" w:rsidRPr="004778A9">
        <w:rPr>
          <w:rFonts w:ascii="Arial" w:eastAsia="+mn-ea" w:hAnsi="Arial" w:cs="Arial"/>
          <w:bCs/>
          <w:iCs/>
          <w:color w:val="000000"/>
          <w:kern w:val="24"/>
          <w:sz w:val="24"/>
          <w:szCs w:val="24"/>
        </w:rPr>
        <w:t xml:space="preserve">Nr. 213.01-2015/002VG des </w:t>
      </w:r>
      <w:r w:rsidR="00956C87" w:rsidRPr="004778A9">
        <w:rPr>
          <w:rFonts w:ascii="Arial" w:eastAsia="+mn-ea" w:hAnsi="Arial" w:cs="Arial"/>
          <w:bCs/>
          <w:i/>
          <w:iCs/>
          <w:color w:val="000000"/>
          <w:kern w:val="24"/>
          <w:sz w:val="24"/>
          <w:szCs w:val="24"/>
        </w:rPr>
        <w:t>SFU</w:t>
      </w:r>
      <w:r w:rsidR="00956C87" w:rsidRPr="004778A9">
        <w:rPr>
          <w:rFonts w:ascii="Arial" w:eastAsia="+mn-ea" w:hAnsi="Arial" w:cs="Arial"/>
          <w:bCs/>
          <w:iCs/>
          <w:color w:val="000000"/>
          <w:kern w:val="24"/>
          <w:sz w:val="24"/>
          <w:szCs w:val="24"/>
        </w:rPr>
        <w:t xml:space="preserve"> Subvention mit Nutzung der Einrichtung </w:t>
      </w:r>
      <w:r w:rsidR="00956C87" w:rsidRPr="004778A9">
        <w:rPr>
          <w:rFonts w:ascii="Arial" w:eastAsia="+mn-ea" w:hAnsi="Arial" w:cs="Arial"/>
          <w:bCs/>
          <w:i/>
          <w:iCs/>
          <w:color w:val="000000"/>
          <w:kern w:val="24"/>
          <w:sz w:val="24"/>
          <w:szCs w:val="24"/>
        </w:rPr>
        <w:t xml:space="preserve">PCU "High </w:t>
      </w:r>
      <w:proofErr w:type="spellStart"/>
      <w:r w:rsidR="00956C87" w:rsidRPr="004778A9">
        <w:rPr>
          <w:rFonts w:ascii="Arial" w:eastAsia="+mn-ea" w:hAnsi="Arial" w:cs="Arial"/>
          <w:bCs/>
          <w:i/>
          <w:iCs/>
          <w:color w:val="000000"/>
          <w:kern w:val="24"/>
          <w:sz w:val="24"/>
          <w:szCs w:val="24"/>
        </w:rPr>
        <w:t>technology</w:t>
      </w:r>
      <w:proofErr w:type="spellEnd"/>
      <w:r w:rsidR="00956C87" w:rsidRPr="004778A9">
        <w:rPr>
          <w:rFonts w:ascii="Arial" w:eastAsia="+mn-ea" w:hAnsi="Arial" w:cs="Arial"/>
          <w:bCs/>
          <w:i/>
          <w:iCs/>
          <w:color w:val="000000"/>
          <w:kern w:val="24"/>
          <w:sz w:val="24"/>
          <w:szCs w:val="24"/>
        </w:rPr>
        <w:t>"</w:t>
      </w:r>
      <w:r w:rsidR="00956C87" w:rsidRPr="004778A9">
        <w:rPr>
          <w:rFonts w:ascii="Arial" w:eastAsia="+mn-ea" w:hAnsi="Arial" w:cs="Arial"/>
          <w:bCs/>
          <w:iCs/>
          <w:color w:val="000000"/>
          <w:kern w:val="24"/>
          <w:sz w:val="24"/>
          <w:szCs w:val="24"/>
        </w:rPr>
        <w:t xml:space="preserve"> der Südlichen Föderalen Universität</w:t>
      </w:r>
      <w:r w:rsidR="004778A9" w:rsidRPr="004778A9">
        <w:rPr>
          <w:rFonts w:ascii="Arial" w:eastAsia="+mn-ea" w:hAnsi="Arial" w:cs="Arial"/>
          <w:bCs/>
          <w:iCs/>
          <w:color w:val="000000"/>
          <w:kern w:val="24"/>
          <w:sz w:val="24"/>
          <w:szCs w:val="24"/>
        </w:rPr>
        <w:t xml:space="preserve"> erarbeitet.</w:t>
      </w:r>
      <w:r w:rsidR="00956C87" w:rsidRPr="004778A9">
        <w:rPr>
          <w:rFonts w:ascii="Arial" w:eastAsia="+mn-ea" w:hAnsi="Arial" w:cs="Arial"/>
          <w:bCs/>
          <w:iCs/>
          <w:color w:val="000000"/>
          <w:kern w:val="24"/>
          <w:sz w:val="24"/>
          <w:szCs w:val="24"/>
        </w:rPr>
        <w:t xml:space="preserve"> </w:t>
      </w:r>
    </w:p>
    <w:p w:rsidR="004D1601" w:rsidRPr="000112AA" w:rsidRDefault="001D5391" w:rsidP="004D1601">
      <w:pPr>
        <w:spacing w:after="0" w:line="360" w:lineRule="auto"/>
        <w:rPr>
          <w:rFonts w:ascii="Arial" w:eastAsia="+mn-ea" w:hAnsi="Arial" w:cs="Arial"/>
          <w:b/>
          <w:iCs/>
          <w:color w:val="000000"/>
          <w:kern w:val="24"/>
          <w:sz w:val="24"/>
          <w:szCs w:val="24"/>
          <w:lang w:val="en-US"/>
        </w:rPr>
      </w:pPr>
      <w:proofErr w:type="spellStart"/>
      <w:r w:rsidRPr="000112AA">
        <w:rPr>
          <w:rFonts w:ascii="Arial" w:eastAsia="+mn-ea" w:hAnsi="Arial" w:cs="Arial"/>
          <w:b/>
          <w:iCs/>
          <w:color w:val="000000"/>
          <w:kern w:val="24"/>
          <w:sz w:val="24"/>
          <w:szCs w:val="24"/>
          <w:lang w:val="en-US"/>
        </w:rPr>
        <w:t>Literatur</w:t>
      </w:r>
      <w:proofErr w:type="spellEnd"/>
    </w:p>
    <w:p w:rsidR="00C73C64" w:rsidRDefault="001D5391" w:rsidP="00B443BF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[1] </w:t>
      </w:r>
      <w:proofErr w:type="spellStart"/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Abramyan</w:t>
      </w:r>
      <w:proofErr w:type="spellEnd"/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, S. A. </w:t>
      </w:r>
      <w:r w:rsid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(</w:t>
      </w:r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1993</w:t>
      </w:r>
      <w:r w:rsid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):</w:t>
      </w:r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 Variation of enzyme activity of soil under the influence of natural and anthropogenic factors. </w:t>
      </w:r>
      <w:proofErr w:type="spellStart"/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Eurasian</w:t>
      </w:r>
      <w:proofErr w:type="spellEnd"/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proofErr w:type="spellStart"/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Soil</w:t>
      </w:r>
      <w:proofErr w:type="spellEnd"/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Sci</w:t>
      </w:r>
      <w:r w:rsidR="004778A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ence</w:t>
      </w:r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25:</w:t>
      </w:r>
      <w:r w:rsidR="004778A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</w:t>
      </w:r>
      <w:r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57-73. </w:t>
      </w:r>
    </w:p>
    <w:p w:rsidR="00C73C64" w:rsidRPr="008E5969" w:rsidRDefault="00C73C64" w:rsidP="00B443BF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</w:pPr>
      <w:r w:rsidRPr="00C73C6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[</w:t>
      </w:r>
      <w:r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2</w:t>
      </w:r>
      <w:r w:rsidRPr="00C73C64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] </w:t>
      </w:r>
      <w:proofErr w:type="spellStart"/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Schinner</w:t>
      </w:r>
      <w:proofErr w:type="spellEnd"/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, F., Sonnleitner, R. </w:t>
      </w:r>
      <w:r w:rsidR="00B443B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(</w:t>
      </w:r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1996</w:t>
      </w:r>
      <w:r w:rsidR="00B443B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):</w:t>
      </w:r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Bodenökologie: Mikrobiologie und </w:t>
      </w:r>
      <w:proofErr w:type="spellStart"/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Bodenenzymatik</w:t>
      </w:r>
      <w:proofErr w:type="spellEnd"/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. </w:t>
      </w:r>
      <w:r w:rsidR="001D5391" w:rsidRPr="008E5969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Springer </w:t>
      </w:r>
      <w:proofErr w:type="spellStart"/>
      <w:r w:rsidR="001D5391" w:rsidRPr="008E5969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Verlag</w:t>
      </w:r>
      <w:proofErr w:type="spellEnd"/>
      <w:r w:rsidR="001D5391" w:rsidRPr="008E5969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 Berlin Heidelberg, ISBN-13: 978-3-642-80176-1. </w:t>
      </w:r>
    </w:p>
    <w:p w:rsidR="001D5391" w:rsidRPr="00B443BF" w:rsidRDefault="00C73C64" w:rsidP="00B443BF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</w:pPr>
      <w:r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[3] </w:t>
      </w:r>
      <w:r w:rsidR="001D5391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Marx, M.-C., Wood, M., Jarvis, S.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 </w:t>
      </w:r>
      <w:r w:rsidR="001D5391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C., 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(</w:t>
      </w:r>
      <w:r w:rsidR="001D5391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2001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):</w:t>
      </w:r>
      <w:r w:rsidR="001D5391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 </w:t>
      </w:r>
      <w:r w:rsid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A microplate </w:t>
      </w:r>
      <w:proofErr w:type="spellStart"/>
      <w:r w:rsid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fluorimetric</w:t>
      </w:r>
      <w:proofErr w:type="spellEnd"/>
      <w:r w:rsid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 as</w:t>
      </w:r>
      <w:r w:rsidR="001D5391" w:rsidRPr="001D5391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say for the study of enzyme diversity in soils. </w:t>
      </w:r>
      <w:r w:rsidR="001D5391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Soil Biology and Biochemistry 33</w:t>
      </w:r>
      <w:r w:rsidR="004778A9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:</w:t>
      </w:r>
      <w:r w:rsidR="001D5391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 xml:space="preserve"> 1633-1640.</w:t>
      </w:r>
    </w:p>
    <w:p w:rsidR="006710CA" w:rsidRPr="00B443BF" w:rsidRDefault="006710CA" w:rsidP="00B443BF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</w:rPr>
      </w:pPr>
      <w:r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>[4]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 xml:space="preserve"> Хазиев</w:t>
      </w:r>
      <w:r w:rsid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>,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 xml:space="preserve"> Ф. Х.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en-US"/>
        </w:rPr>
        <w:t> 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>(2005): Методы почвенной энзимологии. М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., 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>Наука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, 2005. 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>С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. </w:t>
      </w:r>
      <w:r w:rsidR="008E5969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41-44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(</w:t>
      </w:r>
      <w:r w:rsidR="008E5969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>оригинальная методика Карякиной и Михайловой, 1986) (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in Russisch).</w:t>
      </w:r>
    </w:p>
    <w:p w:rsidR="00B443BF" w:rsidRPr="00B443BF" w:rsidRDefault="001E3990" w:rsidP="00B443BF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</w:pPr>
      <w:r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 xml:space="preserve">[5] 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>Воздняковская,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 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>Ю. М., Попова, Ж. Д., Курдюков, Ю. Ф. и др. (1990): Микробиологические основы эффективного плодородия почвы в условиях Юго-Востока. // Почвоведение. № 7. С. 67-74 (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in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 xml:space="preserve"> 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Russisch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>).</w:t>
      </w:r>
    </w:p>
    <w:p w:rsidR="004D1601" w:rsidRPr="00B443BF" w:rsidRDefault="001E3990" w:rsidP="00B443BF">
      <w:pPr>
        <w:spacing w:after="0" w:line="340" w:lineRule="exact"/>
        <w:jc w:val="both"/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</w:pPr>
      <w:r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 xml:space="preserve">[6] 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>Чундерова, А. И. (1970): Активность полифенолоксидазы и пероксидазы в дерново-подзолистых почвах. // Почвоведение. № 7. С. 22-28 (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in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 xml:space="preserve"> 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Russisch</w:t>
      </w:r>
      <w:r w:rsidR="00B443BF" w:rsidRPr="00B443BF">
        <w:rPr>
          <w:rFonts w:ascii="Arial" w:eastAsia="+mn-ea" w:hAnsi="Arial" w:cs="Arial"/>
          <w:iCs/>
          <w:color w:val="000000"/>
          <w:kern w:val="24"/>
          <w:sz w:val="24"/>
          <w:szCs w:val="24"/>
          <w:lang w:val="ru-RU"/>
        </w:rPr>
        <w:t>).</w:t>
      </w:r>
    </w:p>
    <w:p w:rsidR="004D1601" w:rsidRPr="00B443BF" w:rsidRDefault="004D1601" w:rsidP="004D1601">
      <w:pPr>
        <w:spacing w:after="0" w:line="360" w:lineRule="auto"/>
        <w:rPr>
          <w:rFonts w:ascii="Arial" w:hAnsi="Arial" w:cs="Arial"/>
          <w:sz w:val="18"/>
          <w:szCs w:val="18"/>
          <w:lang w:val="ru-RU"/>
        </w:rPr>
      </w:pPr>
    </w:p>
    <w:sectPr w:rsidR="004D1601" w:rsidRPr="00B443BF" w:rsidSect="008D013D">
      <w:pgSz w:w="11906" w:h="16838"/>
      <w:pgMar w:top="851" w:right="851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7337"/>
    <w:multiLevelType w:val="hybridMultilevel"/>
    <w:tmpl w:val="5C081804"/>
    <w:lvl w:ilvl="0" w:tplc="BB3C7E00">
      <w:start w:val="2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2B"/>
    <w:rsid w:val="000112AA"/>
    <w:rsid w:val="00063A48"/>
    <w:rsid w:val="00156049"/>
    <w:rsid w:val="0015670C"/>
    <w:rsid w:val="001723D9"/>
    <w:rsid w:val="00187A91"/>
    <w:rsid w:val="00193DDC"/>
    <w:rsid w:val="0019472B"/>
    <w:rsid w:val="001B5AA0"/>
    <w:rsid w:val="001C27A6"/>
    <w:rsid w:val="001D5391"/>
    <w:rsid w:val="001E3990"/>
    <w:rsid w:val="0021583B"/>
    <w:rsid w:val="002365CD"/>
    <w:rsid w:val="00294338"/>
    <w:rsid w:val="002B24FA"/>
    <w:rsid w:val="00306143"/>
    <w:rsid w:val="00332C26"/>
    <w:rsid w:val="00346B22"/>
    <w:rsid w:val="00397217"/>
    <w:rsid w:val="003B328A"/>
    <w:rsid w:val="003D705A"/>
    <w:rsid w:val="00425EEF"/>
    <w:rsid w:val="004626B3"/>
    <w:rsid w:val="004778A9"/>
    <w:rsid w:val="004D1601"/>
    <w:rsid w:val="004D61E8"/>
    <w:rsid w:val="005324E8"/>
    <w:rsid w:val="005D5087"/>
    <w:rsid w:val="005D5FF8"/>
    <w:rsid w:val="005E7AC0"/>
    <w:rsid w:val="006048FD"/>
    <w:rsid w:val="006710CA"/>
    <w:rsid w:val="006D1B53"/>
    <w:rsid w:val="006F3C0D"/>
    <w:rsid w:val="006F5F2C"/>
    <w:rsid w:val="00701FAA"/>
    <w:rsid w:val="00722B6B"/>
    <w:rsid w:val="00734B9E"/>
    <w:rsid w:val="0077082D"/>
    <w:rsid w:val="00776D98"/>
    <w:rsid w:val="00795D77"/>
    <w:rsid w:val="007D114D"/>
    <w:rsid w:val="007E4F12"/>
    <w:rsid w:val="007E7A89"/>
    <w:rsid w:val="007F0873"/>
    <w:rsid w:val="008A1CB0"/>
    <w:rsid w:val="008A3585"/>
    <w:rsid w:val="008D013D"/>
    <w:rsid w:val="008D25DA"/>
    <w:rsid w:val="008E5969"/>
    <w:rsid w:val="008F443A"/>
    <w:rsid w:val="008F6930"/>
    <w:rsid w:val="008F722A"/>
    <w:rsid w:val="008F7547"/>
    <w:rsid w:val="009174E6"/>
    <w:rsid w:val="00950C72"/>
    <w:rsid w:val="00956C87"/>
    <w:rsid w:val="00956F47"/>
    <w:rsid w:val="00975F0E"/>
    <w:rsid w:val="009A373C"/>
    <w:rsid w:val="009E4681"/>
    <w:rsid w:val="00A51277"/>
    <w:rsid w:val="00A8207C"/>
    <w:rsid w:val="00AA4696"/>
    <w:rsid w:val="00AC197B"/>
    <w:rsid w:val="00AC334B"/>
    <w:rsid w:val="00AF5F97"/>
    <w:rsid w:val="00B443BF"/>
    <w:rsid w:val="00B47708"/>
    <w:rsid w:val="00BA546D"/>
    <w:rsid w:val="00BC1576"/>
    <w:rsid w:val="00BE66C9"/>
    <w:rsid w:val="00C5524E"/>
    <w:rsid w:val="00C66639"/>
    <w:rsid w:val="00C73C64"/>
    <w:rsid w:val="00D35774"/>
    <w:rsid w:val="00DB5FF8"/>
    <w:rsid w:val="00DF03ED"/>
    <w:rsid w:val="00DF50BD"/>
    <w:rsid w:val="00E00EB5"/>
    <w:rsid w:val="00F067D4"/>
    <w:rsid w:val="00F7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72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D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D61E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D61E8"/>
    <w:rPr>
      <w:rFonts w:ascii="Consolas" w:hAnsi="Consolas" w:cs="Consolas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D160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71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72B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D0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D61E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D61E8"/>
    <w:rPr>
      <w:rFonts w:ascii="Consolas" w:hAnsi="Consolas" w:cs="Consolas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D160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71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974A-9CFD-47CB-8916-B67F5884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Anisimova</dc:creator>
  <cp:lastModifiedBy>Marina Anisimova</cp:lastModifiedBy>
  <cp:revision>2</cp:revision>
  <cp:lastPrinted>2015-09-29T10:19:00Z</cp:lastPrinted>
  <dcterms:created xsi:type="dcterms:W3CDTF">2015-10-01T08:01:00Z</dcterms:created>
  <dcterms:modified xsi:type="dcterms:W3CDTF">2015-10-01T08:01:00Z</dcterms:modified>
</cp:coreProperties>
</file>