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87" w:rsidRPr="00FB6F87" w:rsidRDefault="00FB6F87" w:rsidP="008C4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21"/>
          <w:szCs w:val="21"/>
        </w:rPr>
      </w:pPr>
      <w:r w:rsidRPr="00FB6F87">
        <w:rPr>
          <w:b/>
          <w:sz w:val="21"/>
          <w:szCs w:val="21"/>
        </w:rPr>
        <w:t>Tagungsbeitrag zu:</w:t>
      </w:r>
    </w:p>
    <w:p w:rsidR="00FB6F87" w:rsidRPr="00FB6F87" w:rsidRDefault="00FB6F87" w:rsidP="008C4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21"/>
          <w:szCs w:val="21"/>
        </w:rPr>
      </w:pPr>
      <w:r w:rsidRPr="00FB6F87">
        <w:rPr>
          <w:sz w:val="21"/>
          <w:szCs w:val="21"/>
        </w:rPr>
        <w:t>Jahrestagung der DBG, Kommission V</w:t>
      </w:r>
    </w:p>
    <w:p w:rsidR="00FB6F87" w:rsidRPr="00FB6F87" w:rsidRDefault="00FB6F87" w:rsidP="008C4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21"/>
          <w:szCs w:val="21"/>
        </w:rPr>
      </w:pPr>
      <w:r w:rsidRPr="00FB6F87">
        <w:rPr>
          <w:b/>
          <w:sz w:val="21"/>
          <w:szCs w:val="21"/>
        </w:rPr>
        <w:t>Titel der Tagung:</w:t>
      </w:r>
    </w:p>
    <w:p w:rsidR="00FB6F87" w:rsidRPr="00FB6F87" w:rsidRDefault="00FB6F87" w:rsidP="008C4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21"/>
          <w:szCs w:val="21"/>
        </w:rPr>
      </w:pPr>
      <w:r w:rsidRPr="00FB6F87">
        <w:rPr>
          <w:sz w:val="21"/>
          <w:szCs w:val="21"/>
        </w:rPr>
        <w:t>Böden – Lebensgrundlage und Verantwortung</w:t>
      </w:r>
    </w:p>
    <w:p w:rsidR="00FB6F87" w:rsidRDefault="00FB6F87" w:rsidP="008C4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21"/>
          <w:szCs w:val="21"/>
        </w:rPr>
      </w:pPr>
      <w:r w:rsidRPr="00FB6F87">
        <w:rPr>
          <w:b/>
          <w:sz w:val="21"/>
          <w:szCs w:val="21"/>
        </w:rPr>
        <w:t>Veranstalter:</w:t>
      </w:r>
      <w:r>
        <w:rPr>
          <w:sz w:val="21"/>
          <w:szCs w:val="21"/>
        </w:rPr>
        <w:t xml:space="preserve"> </w:t>
      </w:r>
      <w:r w:rsidRPr="00FB6F87">
        <w:rPr>
          <w:sz w:val="21"/>
          <w:szCs w:val="21"/>
        </w:rPr>
        <w:t>DBG</w:t>
      </w:r>
    </w:p>
    <w:p w:rsidR="00FB6F87" w:rsidRPr="00FB6F87" w:rsidRDefault="00FB6F87" w:rsidP="008C4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21"/>
          <w:szCs w:val="21"/>
        </w:rPr>
      </w:pPr>
      <w:r w:rsidRPr="00FB6F87">
        <w:rPr>
          <w:b/>
          <w:sz w:val="21"/>
          <w:szCs w:val="21"/>
        </w:rPr>
        <w:t>Termin und Ort der Tagung:</w:t>
      </w:r>
      <w:r>
        <w:rPr>
          <w:sz w:val="21"/>
          <w:szCs w:val="21"/>
        </w:rPr>
        <w:t xml:space="preserve"> </w:t>
      </w:r>
      <w:r w:rsidRPr="00FB6F87">
        <w:rPr>
          <w:sz w:val="21"/>
          <w:szCs w:val="21"/>
        </w:rPr>
        <w:t>7. – 12. Se</w:t>
      </w:r>
      <w:r w:rsidRPr="00FB6F87">
        <w:rPr>
          <w:sz w:val="21"/>
          <w:szCs w:val="21"/>
        </w:rPr>
        <w:t>p</w:t>
      </w:r>
      <w:r w:rsidRPr="00FB6F87">
        <w:rPr>
          <w:sz w:val="21"/>
          <w:szCs w:val="21"/>
        </w:rPr>
        <w:t>tember 2013, Rostock</w:t>
      </w:r>
    </w:p>
    <w:p w:rsidR="00FB6F87" w:rsidRPr="00FB6F87" w:rsidRDefault="00FB6F87" w:rsidP="008C4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21"/>
          <w:szCs w:val="21"/>
        </w:rPr>
      </w:pPr>
      <w:r w:rsidRPr="00FB6F87">
        <w:rPr>
          <w:sz w:val="21"/>
          <w:szCs w:val="21"/>
        </w:rPr>
        <w:t>Berichte der DBG (nicht begutachtete online Publikation)</w:t>
      </w:r>
      <w:r>
        <w:rPr>
          <w:sz w:val="21"/>
          <w:szCs w:val="21"/>
        </w:rPr>
        <w:t xml:space="preserve">; </w:t>
      </w:r>
      <w:hyperlink r:id="rId9" w:history="1">
        <w:r w:rsidRPr="007742E9">
          <w:rPr>
            <w:rStyle w:val="Hyperlink"/>
            <w:sz w:val="21"/>
            <w:szCs w:val="21"/>
          </w:rPr>
          <w:t>http://www.dbges.de</w:t>
        </w:r>
      </w:hyperlink>
      <w:r>
        <w:rPr>
          <w:sz w:val="21"/>
          <w:szCs w:val="21"/>
        </w:rPr>
        <w:t xml:space="preserve"> </w:t>
      </w:r>
    </w:p>
    <w:p w:rsidR="00FB6F87" w:rsidRDefault="00FB6F87"/>
    <w:p w:rsidR="00B00646" w:rsidRDefault="00B00646" w:rsidP="00B00646">
      <w:pPr>
        <w:jc w:val="left"/>
        <w:rPr>
          <w:b/>
          <w:sz w:val="28"/>
        </w:rPr>
      </w:pPr>
      <w:r w:rsidRPr="00B00646">
        <w:rPr>
          <w:b/>
          <w:sz w:val="28"/>
        </w:rPr>
        <w:t>Brauneisengleye in Schleswig-Holstein – eisenharte Archivb</w:t>
      </w:r>
      <w:r w:rsidRPr="00B00646">
        <w:rPr>
          <w:b/>
          <w:sz w:val="28"/>
        </w:rPr>
        <w:t>ö</w:t>
      </w:r>
      <w:r w:rsidRPr="00B00646">
        <w:rPr>
          <w:b/>
          <w:sz w:val="28"/>
        </w:rPr>
        <w:t>den</w:t>
      </w:r>
    </w:p>
    <w:p w:rsidR="00FB6F87" w:rsidRPr="00B00646" w:rsidRDefault="00B00646" w:rsidP="00FB6F87">
      <w:r w:rsidRPr="00B00646">
        <w:t>Dörthe Holthusen</w:t>
      </w:r>
      <w:bookmarkStart w:id="0" w:name="_Ref367704831"/>
      <w:r w:rsidR="00FB6F87">
        <w:rPr>
          <w:rStyle w:val="Funotenzeichen"/>
        </w:rPr>
        <w:footnoteReference w:id="1"/>
      </w:r>
      <w:bookmarkEnd w:id="0"/>
      <w:r w:rsidR="00FB6F87" w:rsidRPr="00B00646">
        <w:t xml:space="preserve">, </w:t>
      </w:r>
      <w:r w:rsidRPr="00B00646">
        <w:t>Thomas C. Neug</w:t>
      </w:r>
      <w:r w:rsidRPr="00B00646">
        <w:t>e</w:t>
      </w:r>
      <w:r w:rsidRPr="00B00646">
        <w:t>bauer</w:t>
      </w:r>
      <w:r w:rsidRPr="00B00646">
        <w:rPr>
          <w:vertAlign w:val="superscript"/>
        </w:rPr>
        <w:fldChar w:fldCharType="begin"/>
      </w:r>
      <w:r w:rsidRPr="00B00646">
        <w:rPr>
          <w:vertAlign w:val="superscript"/>
        </w:rPr>
        <w:instrText xml:space="preserve"> NOTEREF _Ref367704831 \h </w:instrText>
      </w:r>
      <w:r>
        <w:rPr>
          <w:vertAlign w:val="superscript"/>
        </w:rPr>
        <w:instrText xml:space="preserve"> \* MERGEFORMAT </w:instrText>
      </w:r>
      <w:r w:rsidRPr="00B00646">
        <w:rPr>
          <w:vertAlign w:val="superscript"/>
        </w:rPr>
      </w:r>
      <w:r w:rsidRPr="00B00646">
        <w:rPr>
          <w:vertAlign w:val="superscript"/>
        </w:rPr>
        <w:fldChar w:fldCharType="separate"/>
      </w:r>
      <w:r w:rsidRPr="00B00646">
        <w:rPr>
          <w:vertAlign w:val="superscript"/>
        </w:rPr>
        <w:t>1</w:t>
      </w:r>
      <w:r w:rsidRPr="00B00646">
        <w:rPr>
          <w:vertAlign w:val="superscript"/>
        </w:rPr>
        <w:fldChar w:fldCharType="end"/>
      </w:r>
      <w:r>
        <w:t>, Bernd Burbaum</w:t>
      </w:r>
      <w:r>
        <w:rPr>
          <w:rStyle w:val="Funotenzeichen"/>
        </w:rPr>
        <w:footnoteReference w:id="2"/>
      </w:r>
      <w:r>
        <w:t>, Heiner Fleige</w:t>
      </w:r>
      <w:r w:rsidRPr="00B00646">
        <w:rPr>
          <w:vertAlign w:val="superscript"/>
        </w:rPr>
        <w:fldChar w:fldCharType="begin"/>
      </w:r>
      <w:r w:rsidRPr="00B00646">
        <w:rPr>
          <w:vertAlign w:val="superscript"/>
        </w:rPr>
        <w:instrText xml:space="preserve"> NOTEREF _Ref367704831 \h </w:instrText>
      </w:r>
      <w:r>
        <w:rPr>
          <w:vertAlign w:val="superscript"/>
        </w:rPr>
        <w:instrText xml:space="preserve"> \* MERGEFORMAT </w:instrText>
      </w:r>
      <w:r w:rsidRPr="00B00646">
        <w:rPr>
          <w:vertAlign w:val="superscript"/>
        </w:rPr>
      </w:r>
      <w:r w:rsidRPr="00B00646">
        <w:rPr>
          <w:vertAlign w:val="superscript"/>
        </w:rPr>
        <w:fldChar w:fldCharType="separate"/>
      </w:r>
      <w:r w:rsidRPr="00B00646">
        <w:rPr>
          <w:vertAlign w:val="superscript"/>
        </w:rPr>
        <w:t>1</w:t>
      </w:r>
      <w:r w:rsidRPr="00B00646">
        <w:rPr>
          <w:vertAlign w:val="superscript"/>
        </w:rPr>
        <w:fldChar w:fldCharType="end"/>
      </w:r>
      <w:r>
        <w:t>, Rainer Horn</w:t>
      </w:r>
      <w:r w:rsidRPr="00B00646">
        <w:rPr>
          <w:vertAlign w:val="superscript"/>
        </w:rPr>
        <w:fldChar w:fldCharType="begin"/>
      </w:r>
      <w:r w:rsidRPr="00B00646">
        <w:rPr>
          <w:vertAlign w:val="superscript"/>
        </w:rPr>
        <w:instrText xml:space="preserve"> NOTEREF _Ref367704831 \h </w:instrText>
      </w:r>
      <w:r>
        <w:rPr>
          <w:vertAlign w:val="superscript"/>
        </w:rPr>
        <w:instrText xml:space="preserve"> \* MERGEFORMAT </w:instrText>
      </w:r>
      <w:r w:rsidRPr="00B00646">
        <w:rPr>
          <w:vertAlign w:val="superscript"/>
        </w:rPr>
      </w:r>
      <w:r w:rsidRPr="00B00646">
        <w:rPr>
          <w:vertAlign w:val="superscript"/>
        </w:rPr>
        <w:fldChar w:fldCharType="separate"/>
      </w:r>
      <w:r w:rsidRPr="00B00646">
        <w:rPr>
          <w:vertAlign w:val="superscript"/>
        </w:rPr>
        <w:t>1</w:t>
      </w:r>
      <w:r w:rsidRPr="00B00646">
        <w:rPr>
          <w:vertAlign w:val="superscript"/>
        </w:rPr>
        <w:fldChar w:fldCharType="end"/>
      </w:r>
    </w:p>
    <w:p w:rsidR="00FB6F87" w:rsidRPr="00590780" w:rsidRDefault="00FB6F87" w:rsidP="00FB6F87">
      <w:pPr>
        <w:pStyle w:val="berschrift1"/>
      </w:pPr>
      <w:r w:rsidRPr="00590780">
        <w:t>Zusammenfassung</w:t>
      </w:r>
    </w:p>
    <w:p w:rsidR="00590780" w:rsidRDefault="00590780" w:rsidP="00590780">
      <w:r>
        <w:t>Im Zusammenarbeit vom Landesamt für Landwirtschaft, Umwelt und ländliche Räume (LLUR) des Landes Schleswig-Holstein und dem Institut für Pflanz</w:t>
      </w:r>
      <w:r>
        <w:t>e</w:t>
      </w:r>
      <w:r>
        <w:t>nernährung und Bodenkunde der Chri</w:t>
      </w:r>
      <w:r>
        <w:t>s</w:t>
      </w:r>
      <w:r>
        <w:t>tian-Albrechts-Universität zu Kiel wurden am LLUR vorhandene Information</w:t>
      </w:r>
      <w:r>
        <w:t>s</w:t>
      </w:r>
      <w:r>
        <w:t>grundlagen zur Ausweisung von pote</w:t>
      </w:r>
      <w:r>
        <w:t>n</w:t>
      </w:r>
      <w:r>
        <w:t>tiellen Brauneisengley-Vorkommen</w:t>
      </w:r>
      <w:r w:rsidR="00FF0CAB">
        <w:t xml:space="preserve"> (GGe)</w:t>
      </w:r>
      <w:r>
        <w:t xml:space="preserve"> in Schleswig-Holstein ausgewe</w:t>
      </w:r>
      <w:r>
        <w:t>r</w:t>
      </w:r>
      <w:r>
        <w:t xml:space="preserve">tet. </w:t>
      </w:r>
      <w:r w:rsidR="00FF1F83">
        <w:t>Als Punkt-Information vorliegenden</w:t>
      </w:r>
      <w:r>
        <w:t xml:space="preserve"> </w:t>
      </w:r>
      <w:r w:rsidR="00FF1F83">
        <w:t xml:space="preserve">Daten </w:t>
      </w:r>
      <w:r>
        <w:t xml:space="preserve">wurden unter Berücksichtigung der Geomorphographie Flächen </w:t>
      </w:r>
      <w:r w:rsidR="00FF1F83">
        <w:t>zug</w:t>
      </w:r>
      <w:r w:rsidR="00FF1F83">
        <w:t>e</w:t>
      </w:r>
      <w:r w:rsidR="00FF1F83">
        <w:t xml:space="preserve">wiesen. Diese </w:t>
      </w:r>
      <w:r>
        <w:t xml:space="preserve">sind als Suchräume für die Verbreitung von </w:t>
      </w:r>
      <w:r w:rsidR="00FF0CAB">
        <w:t>GGe</w:t>
      </w:r>
      <w:r>
        <w:t xml:space="preserve"> anzusehen und ermöglichen über entsprechende Geländearbeiten die Verifizierung von </w:t>
      </w:r>
      <w:r w:rsidR="00FF0CAB">
        <w:t>GGe</w:t>
      </w:r>
      <w:r>
        <w:t xml:space="preserve">-Vorkommen. Für einen Teil der Datensätze war auch eine gesonderte Ausweisung von tiefumgebrochenen </w:t>
      </w:r>
      <w:r w:rsidR="00FF0CAB">
        <w:t>GGe</w:t>
      </w:r>
      <w:r>
        <w:t xml:space="preserve"> möglich. </w:t>
      </w:r>
    </w:p>
    <w:p w:rsidR="00FF0CAB" w:rsidRDefault="00FB6F87">
      <w:r w:rsidRPr="00FB6F87">
        <w:rPr>
          <w:b/>
        </w:rPr>
        <w:t>Schlüsselworte</w:t>
      </w:r>
      <w:r>
        <w:t xml:space="preserve">: </w:t>
      </w:r>
      <w:r w:rsidR="00590780">
        <w:t xml:space="preserve">Raseneisenstein, </w:t>
      </w:r>
      <w:r w:rsidR="00FF0CAB">
        <w:t>GGe, Tiefumbruch</w:t>
      </w:r>
      <w:r w:rsidR="00590780">
        <w:t>, Archiv der Natur- und Kulturgeschichte</w:t>
      </w:r>
    </w:p>
    <w:p w:rsidR="00FF0CAB" w:rsidRDefault="00FF0CAB"/>
    <w:p w:rsidR="00FF0CAB" w:rsidRDefault="00FF0CAB"/>
    <w:p w:rsidR="00FB6F87" w:rsidRDefault="00547DD3" w:rsidP="00FB6F87">
      <w:pPr>
        <w:pStyle w:val="berschrift1"/>
      </w:pPr>
      <w:r>
        <w:lastRenderedPageBreak/>
        <w:t>Zeugen von Natur- und Kulturg</w:t>
      </w:r>
      <w:r>
        <w:t>e</w:t>
      </w:r>
      <w:r>
        <w:t>schichte</w:t>
      </w:r>
      <w:r w:rsidR="00FF1F83">
        <w:t>: Böden mit Archivfunktion</w:t>
      </w:r>
    </w:p>
    <w:p w:rsidR="00651FDD" w:rsidRDefault="00651FDD">
      <w:r>
        <w:t>Die Funktion als Archiv der Natur- und Kulturgeschichte gehört zu den im Bu</w:t>
      </w:r>
      <w:r>
        <w:t>n</w:t>
      </w:r>
      <w:r>
        <w:t>des-B</w:t>
      </w:r>
      <w:r w:rsidR="001501C4">
        <w:t xml:space="preserve">odenschutz-Gesetz (BBodSchG) </w:t>
      </w:r>
      <w:r w:rsidR="001501C4">
        <w:fldChar w:fldCharType="begin"/>
      </w:r>
      <w:r w:rsidR="00741297">
        <w:instrText xml:space="preserve"> ADDIN EN.CITE &lt;EndNote&gt;&lt;Cite ExcludeAuth="1"&gt;&lt;Author&gt;Bundesministerium der Justiz&lt;/Author&gt;&lt;Year&gt;1998&lt;/Year&gt;&lt;RecNum&gt;3562&lt;/RecNum&gt;&lt;DisplayText&gt;(1998)&lt;/DisplayText&gt;&lt;record&gt;&lt;rec-number&gt;3562&lt;/rec-number&gt;&lt;foreign-keys&gt;&lt;key app="EN" db-id="teaz0z5z820p9bex95tv9ztydd50tsdsafwa"&gt;3562&lt;/key&gt;&lt;/foreign-keys&gt;&lt;ref-type name="Legal Rule or Regulation"&gt;50&lt;/ref-type&gt;&lt;contributors&gt;&lt;authors&gt;&lt;author&gt;Bundesministerium der Justiz,,&lt;/author&gt;&lt;/authors&gt;&lt;/contributors&gt;&lt;titles&gt;&lt;title&gt;Gesetz zum Schutz vor schädlichen Bodenveränderungen und zur Sanierung von Altlasten (Bundes-Bodenschutzgesetz - BBodSchG)&lt;/title&gt;&lt;/titles&gt;&lt;pages&gt;11&lt;/pages&gt;&lt;edition&gt;Zuletzt geändert durch Art. 3. G v. 9.12.2004 / 3214&lt;/edition&gt;&lt;dates&gt;&lt;year&gt;1998&lt;/year&gt;&lt;/dates&gt;&lt;urls&gt;&lt;/urls&gt;&lt;research-notes&gt;saved as pdf (Ordner &amp;quot;Gesetze&amp;quot;)&amp;#xD;printed&lt;/research-notes&gt;&lt;language&gt;German&lt;/language&gt;&lt;modified-date&gt;13.01.2012&lt;/modified-date&gt;&lt;/record&gt;&lt;/Cite&gt;&lt;/EndNote&gt;</w:instrText>
      </w:r>
      <w:r w:rsidR="001501C4">
        <w:fldChar w:fldCharType="separate"/>
      </w:r>
      <w:r w:rsidR="00741297">
        <w:rPr>
          <w:noProof/>
        </w:rPr>
        <w:t>(</w:t>
      </w:r>
      <w:hyperlink w:anchor="_ENREF_3" w:tooltip="Bundesministerium der Justiz, 1998 #3562" w:history="1">
        <w:r w:rsidR="00FF0CAB">
          <w:rPr>
            <w:noProof/>
          </w:rPr>
          <w:t>1998</w:t>
        </w:r>
      </w:hyperlink>
      <w:r w:rsidR="00741297">
        <w:rPr>
          <w:noProof/>
        </w:rPr>
        <w:t>)</w:t>
      </w:r>
      <w:r w:rsidR="001501C4">
        <w:fldChar w:fldCharType="end"/>
      </w:r>
      <w:r>
        <w:t xml:space="preserve"> aufgelisteten Funktionen von B</w:t>
      </w:r>
      <w:r>
        <w:t>ö</w:t>
      </w:r>
      <w:r>
        <w:t>den. Damit sind relativ seltene Böden betitelt, die Rückschlüsse auf die U</w:t>
      </w:r>
      <w:r>
        <w:t>m</w:t>
      </w:r>
      <w:r>
        <w:t>weltbedingungen während der Bode</w:t>
      </w:r>
      <w:r>
        <w:t>n</w:t>
      </w:r>
      <w:r>
        <w:t>entwicklung erlauben oder durch histor</w:t>
      </w:r>
      <w:r>
        <w:t>i</w:t>
      </w:r>
      <w:r>
        <w:t>sche Bodennutzungen stark geprägt wurden.</w:t>
      </w:r>
    </w:p>
    <w:p w:rsidR="001F0BBF" w:rsidRPr="001F0BBF" w:rsidRDefault="00651FDD" w:rsidP="001F0BBF">
      <w:r>
        <w:t>Eine Ausgestaltung dieser allgemeinen Definition, auch zum Zwecke einer Au</w:t>
      </w:r>
      <w:r>
        <w:t>s</w:t>
      </w:r>
      <w:r>
        <w:t>weisung von möglicherweise zu schü</w:t>
      </w:r>
      <w:r>
        <w:t>t</w:t>
      </w:r>
      <w:r>
        <w:t xml:space="preserve">zenden Archivböden erfolgte </w:t>
      </w:r>
      <w:r w:rsidR="00703D3C">
        <w:t>jüngst</w:t>
      </w:r>
      <w:r>
        <w:t xml:space="preserve"> über einen von der </w:t>
      </w:r>
      <w:r w:rsidRPr="00651FDD">
        <w:t>Bund/Länder-Arbeitsgemeinschaft Bodenschutz</w:t>
      </w:r>
      <w:r>
        <w:t xml:space="preserve"> verö</w:t>
      </w:r>
      <w:r>
        <w:t>f</w:t>
      </w:r>
      <w:r w:rsidR="001501C4">
        <w:t xml:space="preserve">fentlichten Leitfaden </w:t>
      </w:r>
      <w:r w:rsidR="001501C4">
        <w:fldChar w:fldCharType="begin"/>
      </w:r>
      <w:r w:rsidR="001501C4">
        <w:instrText xml:space="preserve"> ADDIN EN.CITE &lt;EndNote&gt;&lt;Cite ExcludeAuth="1"&gt;&lt;Author&gt;Bund/Länder-Arbeitsgemeinschaft Bodenschutz (LABO)&lt;/Author&gt;&lt;Year&gt;2011&lt;/Year&gt;&lt;RecNum&gt;3343&lt;/RecNum&gt;&lt;DisplayText&gt;(2011)&lt;/DisplayText&gt;&lt;record&gt;&lt;rec-number&gt;3343&lt;/rec-number&gt;&lt;foreign-keys&gt;&lt;key app="EN" db-id="teaz0z5z820p9bex95tv9ztydd50tsdsafwa"&gt;3343&lt;/key&gt;&lt;/foreign-keys&gt;&lt;ref-type name="Book"&gt;6&lt;/ref-type&gt;&lt;contributors&gt;&lt;authors&gt;&lt;author&gt;Bund/Länder-Arbeitsgemeinschaft Bodenschutz (LABO),,&lt;/author&gt;&lt;/authors&gt;&lt;/contributors&gt;&lt;titles&gt;&lt;title&gt;Archivböden: Empfehlungen zur Bewertung und zum Schutz von Böden mit besonderer Funktion als Archiv der Natur- und Kulturgeschichte&lt;/title&gt;&lt;/titles&gt;&lt;pages&gt;160&lt;/pages&gt;&lt;keywords&gt;&lt;keyword&gt;Archivböden&lt;/keyword&gt;&lt;keyword&gt;soil protection&lt;/keyword&gt;&lt;keyword&gt;Bodenschutz&lt;/keyword&gt;&lt;/keywords&gt;&lt;dates&gt;&lt;year&gt;2011&lt;/year&gt;&lt;/dates&gt;&lt;publisher&gt;Bund/Länder-Arbeitsgemeinschaft Bodenschutz (LABO)&lt;/publisher&gt;&lt;urls&gt;&lt;related-urls&gt;&lt;url&gt;http://www.labo-deutschland.de/documents/Leitfaden_Archivboeden_335.pdf&lt;/url&gt;&lt;/related-urls&gt;&lt;/urls&gt;&lt;research-notes&gt;printed&amp;#xD;saved as pdf&lt;/research-notes&gt;&lt;language&gt;German&lt;/language&gt;&lt;modified-date&gt;2012/01/23&lt;/modified-date&gt;&lt;/record&gt;&lt;/Cite&gt;&lt;/EndNote&gt;</w:instrText>
      </w:r>
      <w:r w:rsidR="001501C4">
        <w:fldChar w:fldCharType="separate"/>
      </w:r>
      <w:r w:rsidR="001501C4">
        <w:rPr>
          <w:noProof/>
        </w:rPr>
        <w:t>(</w:t>
      </w:r>
      <w:hyperlink w:anchor="_ENREF_2" w:tooltip="Bund/Länder-Arbeitsgemeinschaft Bodenschutz (LABO), 2011 #3343" w:history="1">
        <w:r w:rsidR="00FF0CAB">
          <w:rPr>
            <w:noProof/>
          </w:rPr>
          <w:t>2011</w:t>
        </w:r>
      </w:hyperlink>
      <w:r w:rsidR="001501C4">
        <w:rPr>
          <w:noProof/>
        </w:rPr>
        <w:t>)</w:t>
      </w:r>
      <w:r w:rsidR="001501C4">
        <w:fldChar w:fldCharType="end"/>
      </w:r>
      <w:r>
        <w:t xml:space="preserve">. </w:t>
      </w:r>
      <w:r w:rsidR="001F0BBF">
        <w:t xml:space="preserve">So </w:t>
      </w:r>
      <w:r w:rsidR="00703D3C">
        <w:t>sind</w:t>
      </w:r>
      <w:r w:rsidR="001F0BBF">
        <w:t xml:space="preserve"> Böden Archiv</w:t>
      </w:r>
      <w:r w:rsidR="00FF0CAB">
        <w:t>e</w:t>
      </w:r>
      <w:r w:rsidR="001F0BBF">
        <w:t xml:space="preserve"> der Naturgeschichte, wenn sie Zeugen sind von: </w:t>
      </w:r>
    </w:p>
    <w:p w:rsidR="001F0BBF" w:rsidRPr="001F0BBF" w:rsidRDefault="001F0BBF" w:rsidP="001F0BBF">
      <w:pPr>
        <w:pStyle w:val="Listenabsatz"/>
        <w:numPr>
          <w:ilvl w:val="0"/>
          <w:numId w:val="1"/>
        </w:numPr>
        <w:rPr>
          <w:sz w:val="22"/>
        </w:rPr>
      </w:pPr>
      <w:r w:rsidRPr="001F0BBF">
        <w:rPr>
          <w:sz w:val="22"/>
        </w:rPr>
        <w:t>rezente</w:t>
      </w:r>
      <w:r>
        <w:rPr>
          <w:sz w:val="22"/>
        </w:rPr>
        <w:t>n</w:t>
      </w:r>
      <w:r w:rsidRPr="001F0BBF">
        <w:rPr>
          <w:sz w:val="22"/>
        </w:rPr>
        <w:t xml:space="preserve"> Bodenbildungsprozesse</w:t>
      </w:r>
    </w:p>
    <w:p w:rsidR="001F0BBF" w:rsidRPr="001F0BBF" w:rsidRDefault="001F0BBF" w:rsidP="001F0BBF">
      <w:pPr>
        <w:pStyle w:val="Listenabsatz"/>
        <w:numPr>
          <w:ilvl w:val="0"/>
          <w:numId w:val="1"/>
        </w:numPr>
        <w:rPr>
          <w:sz w:val="22"/>
        </w:rPr>
      </w:pPr>
      <w:r w:rsidRPr="001F0BBF">
        <w:rPr>
          <w:sz w:val="22"/>
        </w:rPr>
        <w:t>pedogene</w:t>
      </w:r>
      <w:r>
        <w:rPr>
          <w:sz w:val="22"/>
        </w:rPr>
        <w:t>n</w:t>
      </w:r>
      <w:r w:rsidRPr="001F0BBF">
        <w:rPr>
          <w:sz w:val="22"/>
        </w:rPr>
        <w:t xml:space="preserve"> Prozesse aus vergangenen geologischen und klimatischen Zeita</w:t>
      </w:r>
      <w:r w:rsidRPr="001F0BBF">
        <w:rPr>
          <w:sz w:val="22"/>
        </w:rPr>
        <w:t>b</w:t>
      </w:r>
      <w:r w:rsidRPr="001F0BBF">
        <w:rPr>
          <w:sz w:val="22"/>
        </w:rPr>
        <w:t>schnitten</w:t>
      </w:r>
    </w:p>
    <w:p w:rsidR="001F0BBF" w:rsidRPr="001F0BBF" w:rsidRDefault="001F0BBF" w:rsidP="001F0BBF">
      <w:pPr>
        <w:pStyle w:val="Listenabsatz"/>
        <w:numPr>
          <w:ilvl w:val="0"/>
          <w:numId w:val="1"/>
        </w:numPr>
        <w:rPr>
          <w:sz w:val="22"/>
        </w:rPr>
      </w:pPr>
      <w:r w:rsidRPr="001F0BBF">
        <w:rPr>
          <w:sz w:val="22"/>
        </w:rPr>
        <w:t>Prozessen in Mooren zu historischen Klima- und Vegetationsverhältnissen</w:t>
      </w:r>
    </w:p>
    <w:p w:rsidR="001F0BBF" w:rsidRPr="001F0BBF" w:rsidRDefault="001F0BBF" w:rsidP="001F0BBF">
      <w:pPr>
        <w:pStyle w:val="Listenabsatz"/>
        <w:numPr>
          <w:ilvl w:val="0"/>
          <w:numId w:val="1"/>
        </w:numPr>
        <w:rPr>
          <w:sz w:val="22"/>
        </w:rPr>
      </w:pPr>
      <w:r w:rsidRPr="001F0BBF">
        <w:rPr>
          <w:sz w:val="22"/>
        </w:rPr>
        <w:t>(Peri-)Glazialprozesse</w:t>
      </w:r>
      <w:r>
        <w:rPr>
          <w:sz w:val="22"/>
        </w:rPr>
        <w:t>n</w:t>
      </w:r>
      <w:r w:rsidRPr="001F0BBF">
        <w:rPr>
          <w:sz w:val="22"/>
        </w:rPr>
        <w:t xml:space="preserve"> in Böden und morphologische</w:t>
      </w:r>
      <w:r>
        <w:rPr>
          <w:sz w:val="22"/>
        </w:rPr>
        <w:t>n</w:t>
      </w:r>
      <w:r w:rsidRPr="001F0BBF">
        <w:rPr>
          <w:sz w:val="22"/>
        </w:rPr>
        <w:t xml:space="preserve"> Elemente bzw. Lan</w:t>
      </w:r>
      <w:r w:rsidRPr="001F0BBF">
        <w:rPr>
          <w:sz w:val="22"/>
        </w:rPr>
        <w:t>d</w:t>
      </w:r>
      <w:r w:rsidRPr="001F0BBF">
        <w:rPr>
          <w:sz w:val="22"/>
        </w:rPr>
        <w:t>schaftsformen</w:t>
      </w:r>
    </w:p>
    <w:p w:rsidR="001F0BBF" w:rsidRPr="001F0BBF" w:rsidRDefault="001F0BBF" w:rsidP="001F0BBF">
      <w:pPr>
        <w:pStyle w:val="Listenabsatz"/>
        <w:numPr>
          <w:ilvl w:val="0"/>
          <w:numId w:val="1"/>
        </w:numPr>
        <w:rPr>
          <w:sz w:val="22"/>
        </w:rPr>
      </w:pPr>
      <w:r w:rsidRPr="001F0BBF">
        <w:rPr>
          <w:sz w:val="22"/>
        </w:rPr>
        <w:t>Ausgangsmaterialien der Bodenbildung</w:t>
      </w:r>
    </w:p>
    <w:p w:rsidR="001F0BBF" w:rsidRPr="001F0BBF" w:rsidRDefault="001F0BBF" w:rsidP="001F0BBF">
      <w:pPr>
        <w:pStyle w:val="Listenabsatz"/>
        <w:numPr>
          <w:ilvl w:val="0"/>
          <w:numId w:val="1"/>
        </w:numPr>
        <w:rPr>
          <w:sz w:val="22"/>
        </w:rPr>
      </w:pPr>
      <w:r w:rsidRPr="001F0BBF">
        <w:rPr>
          <w:sz w:val="22"/>
        </w:rPr>
        <w:t>erdgeschichtlichen Bildungen und Stru</w:t>
      </w:r>
      <w:r w:rsidRPr="001F0BBF">
        <w:rPr>
          <w:sz w:val="22"/>
        </w:rPr>
        <w:t>k</w:t>
      </w:r>
      <w:r w:rsidRPr="001F0BBF">
        <w:rPr>
          <w:sz w:val="22"/>
        </w:rPr>
        <w:t>turen</w:t>
      </w:r>
    </w:p>
    <w:p w:rsidR="00651FDD" w:rsidRPr="00651FDD" w:rsidRDefault="001F0BBF" w:rsidP="001F0BBF">
      <w:r>
        <w:t xml:space="preserve">Als </w:t>
      </w:r>
      <w:r w:rsidRPr="001F0BBF">
        <w:t>Archive der Kulturgeschichte</w:t>
      </w:r>
      <w:r>
        <w:t xml:space="preserve"> dag</w:t>
      </w:r>
      <w:r>
        <w:t>e</w:t>
      </w:r>
      <w:r>
        <w:t xml:space="preserve">gen werden </w:t>
      </w:r>
      <w:r w:rsidRPr="001F0BBF">
        <w:t>pedogene Archive der Sie</w:t>
      </w:r>
      <w:r w:rsidRPr="001F0BBF">
        <w:t>d</w:t>
      </w:r>
      <w:r w:rsidRPr="001F0BBF">
        <w:t>lungs- und Landnutzungsgeschichte (Kultosole) und historischen Nutzung</w:t>
      </w:r>
      <w:r w:rsidRPr="001F0BBF">
        <w:t>s</w:t>
      </w:r>
      <w:r w:rsidRPr="001F0BBF">
        <w:t>formen</w:t>
      </w:r>
      <w:r>
        <w:t xml:space="preserve"> sowie </w:t>
      </w:r>
      <w:r w:rsidRPr="001F0BBF">
        <w:t>Relikte der Siedlungs- und Landnutzungsgeschichte (z. B. archä</w:t>
      </w:r>
      <w:r w:rsidRPr="001F0BBF">
        <w:t>o</w:t>
      </w:r>
      <w:r w:rsidRPr="001F0BBF">
        <w:t>log. Fundstellen)</w:t>
      </w:r>
      <w:r>
        <w:t xml:space="preserve"> gesehen. </w:t>
      </w:r>
      <w:r w:rsidRPr="001F0BBF">
        <w:t>Standorte von Bodenmessnetzen, Leitprofilen und Langfristmonitoring</w:t>
      </w:r>
      <w:r>
        <w:t xml:space="preserve"> erfüllen ebenfalls eine Archivfunktion.</w:t>
      </w:r>
      <w:r w:rsidR="000250CF">
        <w:t xml:space="preserve"> Diese Funktionen sind bedroht durch Eintragung von Sto</w:t>
      </w:r>
      <w:r w:rsidR="000250CF">
        <w:t>f</w:t>
      </w:r>
      <w:r w:rsidR="000250CF">
        <w:t>fen, Abbau und Umlagerung, während ein</w:t>
      </w:r>
      <w:r w:rsidR="00547DD3">
        <w:t>e</w:t>
      </w:r>
      <w:r w:rsidR="000250CF">
        <w:t xml:space="preserve"> Überbau</w:t>
      </w:r>
      <w:r w:rsidR="00547DD3">
        <w:t>ung</w:t>
      </w:r>
      <w:r w:rsidR="000250CF">
        <w:t xml:space="preserve"> </w:t>
      </w:r>
      <w:r w:rsidR="00547DD3">
        <w:t xml:space="preserve">zwar </w:t>
      </w:r>
      <w:r w:rsidR="000250CF">
        <w:t>die in ihnen g</w:t>
      </w:r>
      <w:r w:rsidR="000250CF">
        <w:t>e</w:t>
      </w:r>
      <w:r w:rsidR="000250CF">
        <w:t>speicherten Informationen bewahrt, sie aber der Öffentlichkeit entzieht.</w:t>
      </w:r>
      <w:r w:rsidR="00547DD3">
        <w:t xml:space="preserve"> Prob</w:t>
      </w:r>
      <w:r w:rsidR="00741297">
        <w:t>l</w:t>
      </w:r>
      <w:r w:rsidR="00547DD3">
        <w:t>e</w:t>
      </w:r>
      <w:r w:rsidR="00547DD3">
        <w:t>matisch für die Unterschutzstellung sind eine je nach Bundesland verschiedene Definition sowie die oftmals nicht ausre</w:t>
      </w:r>
      <w:r w:rsidR="00547DD3">
        <w:t>i</w:t>
      </w:r>
      <w:r w:rsidR="00547DD3">
        <w:lastRenderedPageBreak/>
        <w:t>chende Datengrundlage in landesplan</w:t>
      </w:r>
      <w:r w:rsidR="00547DD3">
        <w:t>e</w:t>
      </w:r>
      <w:r w:rsidR="00547DD3">
        <w:t>risch wirksamen Maßstäben.</w:t>
      </w:r>
      <w:r w:rsidR="004E55A6">
        <w:t xml:space="preserve"> </w:t>
      </w:r>
    </w:p>
    <w:p w:rsidR="00610566" w:rsidRDefault="001F0BBF" w:rsidP="00610566">
      <w:pPr>
        <w:pStyle w:val="berschrift1"/>
      </w:pPr>
      <w:r>
        <w:t>Brauneisengleye als schutzwürdige Archivböden</w:t>
      </w:r>
    </w:p>
    <w:p w:rsidR="002B5B40" w:rsidRDefault="0003602C" w:rsidP="00FF0CAB">
      <w:r>
        <w:t xml:space="preserve">Brauneisengleye </w:t>
      </w:r>
      <w:r w:rsidR="00D03644">
        <w:t xml:space="preserve">(GGe) </w:t>
      </w:r>
      <w:r>
        <w:t xml:space="preserve">sind laut </w:t>
      </w:r>
      <w:r w:rsidR="005351D3">
        <w:t xml:space="preserve">der Bodenkundlichen Kartieranleitung </w:t>
      </w:r>
      <w:bookmarkStart w:id="1" w:name="OLE_LINK1"/>
      <w:bookmarkStart w:id="2" w:name="OLE_LINK2"/>
      <w:r w:rsidR="001501C4">
        <w:fldChar w:fldCharType="begin"/>
      </w:r>
      <w:r w:rsidR="001501C4">
        <w:instrText xml:space="preserve"> ADDIN EN.CITE &lt;EndNote&gt;&lt;Cite&gt;&lt;Author&gt;Ad-hoc-AG Boden&lt;/Author&gt;&lt;Year&gt;2005&lt;/Year&gt;&lt;RecNum&gt;718&lt;/RecNum&gt;&lt;DisplayText&gt;(A&lt;style face="smallcaps"&gt;d-hoc-&lt;/style&gt;AG&lt;style face="smallcaps"&gt; &lt;/style&gt;B&lt;style face="smallcaps"&gt;oden&lt;/style&gt; 2005)&lt;/DisplayText&gt;&lt;record&gt;&lt;rec-number&gt;718&lt;/rec-number&gt;&lt;foreign-keys&gt;&lt;key app="EN" db-id="teaz0z5z820p9bex95tv9ztydd50tsdsafwa"&gt;718&lt;/key&gt;&lt;/foreign-keys&gt;&lt;ref-type name="Book"&gt;6&lt;/ref-type&gt;&lt;contributors&gt;&lt;authors&gt;&lt;author&gt;Ad-hoc-AG Boden,&lt;/author&gt;&lt;/authors&gt;&lt;/contributors&gt;&lt;titles&gt;&lt;title&gt;Bodenkundliche Kartieranleitung&lt;/title&gt;&lt;/titles&gt;&lt;pages&gt;438&lt;/pages&gt;&lt;edition&gt;5. &lt;/edition&gt;&lt;dates&gt;&lt;year&gt;2005&lt;/year&gt;&lt;/dates&gt;&lt;pub-location&gt;Hannover&lt;/pub-location&gt;&lt;publisher&gt;Schweizerbart&amp;apos;sche Verlagsbuchhandlung&lt;/publisher&gt;&lt;urls&gt;&lt;/urls&gt;&lt;/record&gt;&lt;/Cite&gt;&lt;/EndNote&gt;</w:instrText>
      </w:r>
      <w:r w:rsidR="001501C4">
        <w:fldChar w:fldCharType="separate"/>
      </w:r>
      <w:r w:rsidR="001501C4">
        <w:rPr>
          <w:noProof/>
        </w:rPr>
        <w:t>(</w:t>
      </w:r>
      <w:hyperlink w:anchor="_ENREF_1" w:tooltip="Ad-hoc-AG Boden, 2005 #718" w:history="1">
        <w:r w:rsidR="00FF0CAB">
          <w:rPr>
            <w:noProof/>
          </w:rPr>
          <w:t>A</w:t>
        </w:r>
        <w:r w:rsidR="00FF0CAB" w:rsidRPr="001501C4">
          <w:rPr>
            <w:smallCaps/>
            <w:noProof/>
          </w:rPr>
          <w:t>d-hoc-</w:t>
        </w:r>
        <w:r w:rsidR="00FF0CAB">
          <w:rPr>
            <w:noProof/>
          </w:rPr>
          <w:t>AG</w:t>
        </w:r>
        <w:r w:rsidR="00FF0CAB" w:rsidRPr="001501C4">
          <w:rPr>
            <w:smallCaps/>
            <w:noProof/>
          </w:rPr>
          <w:t xml:space="preserve"> </w:t>
        </w:r>
        <w:r w:rsidR="00FF0CAB">
          <w:rPr>
            <w:noProof/>
          </w:rPr>
          <w:t>B</w:t>
        </w:r>
        <w:r w:rsidR="00FF0CAB" w:rsidRPr="001501C4">
          <w:rPr>
            <w:smallCaps/>
            <w:noProof/>
          </w:rPr>
          <w:t>oden</w:t>
        </w:r>
        <w:r w:rsidR="00FF0CAB">
          <w:rPr>
            <w:noProof/>
          </w:rPr>
          <w:t xml:space="preserve"> 2005</w:t>
        </w:r>
      </w:hyperlink>
      <w:r w:rsidR="001501C4">
        <w:rPr>
          <w:noProof/>
        </w:rPr>
        <w:t>)</w:t>
      </w:r>
      <w:r w:rsidR="001501C4">
        <w:fldChar w:fldCharType="end"/>
      </w:r>
      <w:bookmarkEnd w:id="1"/>
      <w:bookmarkEnd w:id="2"/>
      <w:r w:rsidRPr="0003602C">
        <w:t xml:space="preserve"> </w:t>
      </w:r>
      <w:r>
        <w:t>Gleye mit ausg</w:t>
      </w:r>
      <w:r>
        <w:t>e</w:t>
      </w:r>
      <w:r>
        <w:t>prägten Eisen-Ausfällungen (Rasene</w:t>
      </w:r>
      <w:r>
        <w:t>i</w:t>
      </w:r>
      <w:r>
        <w:t>senstein, Ra.</w:t>
      </w:r>
      <w:r w:rsidR="009B6A9A">
        <w:t xml:space="preserve">, </w:t>
      </w:r>
      <w:r w:rsidR="009B6A9A" w:rsidRPr="00703D3C">
        <w:rPr>
          <w:b/>
        </w:rPr>
        <w:t>Abb. 1</w:t>
      </w:r>
      <w:r>
        <w:t xml:space="preserve">). </w:t>
      </w:r>
    </w:p>
    <w:p w:rsidR="001F0BBF" w:rsidRPr="001F0BBF" w:rsidRDefault="00FF0CAB" w:rsidP="001F0BB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38E5B" wp14:editId="61D8E663">
                <wp:simplePos x="0" y="0"/>
                <wp:positionH relativeFrom="column">
                  <wp:posOffset>4445</wp:posOffset>
                </wp:positionH>
                <wp:positionV relativeFrom="paragraph">
                  <wp:posOffset>3209925</wp:posOffset>
                </wp:positionV>
                <wp:extent cx="1476375" cy="622300"/>
                <wp:effectExtent l="0" t="0" r="9525" b="6350"/>
                <wp:wrapTight wrapText="bothSides">
                  <wp:wrapPolygon edited="0">
                    <wp:start x="0" y="0"/>
                    <wp:lineTo x="0" y="21159"/>
                    <wp:lineTo x="21461" y="21159"/>
                    <wp:lineTo x="21461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22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D3C" w:rsidRDefault="00703D3C" w:rsidP="00EA253D">
                            <w:pPr>
                              <w:pStyle w:val="Beschriftung"/>
                              <w:spacing w:after="0"/>
                            </w:pPr>
                            <w:r>
                              <w:t xml:space="preserve">Abb. </w:t>
                            </w:r>
                            <w:r w:rsidR="00F7719D">
                              <w:fldChar w:fldCharType="begin"/>
                            </w:r>
                            <w:r w:rsidR="00F7719D">
                              <w:instrText xml:space="preserve"> SEQ Abb. \* ARABIC </w:instrText>
                            </w:r>
                            <w:r w:rsidR="00F7719D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F7719D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Raseneisenkonkr</w:t>
                            </w:r>
                            <w:r>
                              <w:t>e</w:t>
                            </w:r>
                            <w:r>
                              <w:t>tionen</w:t>
                            </w:r>
                            <w:proofErr w:type="spellEnd"/>
                            <w:r>
                              <w:t xml:space="preserve"> (mehrere Zentim</w:t>
                            </w:r>
                            <w:r>
                              <w:t>e</w:t>
                            </w:r>
                            <w:r>
                              <w:t xml:space="preserve">ter Durchmesser) </w:t>
                            </w:r>
                          </w:p>
                          <w:p w:rsidR="00703D3C" w:rsidRPr="00EA253D" w:rsidRDefault="00703D3C" w:rsidP="00EA253D">
                            <w:pPr>
                              <w:pStyle w:val="Beschriftung"/>
                              <w:spacing w:after="0"/>
                              <w:rPr>
                                <w:b w:val="0"/>
                                <w:noProof/>
                                <w:sz w:val="24"/>
                              </w:rPr>
                            </w:pPr>
                            <w:r w:rsidRPr="00EA253D">
                              <w:rPr>
                                <w:b w:val="0"/>
                              </w:rPr>
                              <w:t>(Foto: J. Rostek)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.35pt;margin-top:252.75pt;width:116.2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" stroked="f">
                <v:textbox inset="0,0,0,0">
                  <w:txbxContent>
                    <w:p w:rsidR="00703D3C" w:rsidRDefault="00703D3C" w:rsidP="00EA253D">
                      <w:pPr>
                        <w:pStyle w:val="Beschriftung"/>
                        <w:spacing w:after="0"/>
                      </w:pPr>
                      <w:r>
                        <w:t xml:space="preserve">Abb. </w:t>
                      </w:r>
                      <w:r>
                        <w:fldChar w:fldCharType="begin"/>
                      </w:r>
                      <w:r>
                        <w:instrText xml:space="preserve"> SEQ Abb.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proofErr w:type="spellStart"/>
                      <w:r>
                        <w:t>Raseneisenkonkr</w:t>
                      </w:r>
                      <w:r>
                        <w:t>e</w:t>
                      </w:r>
                      <w:r>
                        <w:t>tionen</w:t>
                      </w:r>
                      <w:proofErr w:type="spellEnd"/>
                      <w:r>
                        <w:t xml:space="preserve"> (mehrere Zentim</w:t>
                      </w:r>
                      <w:r>
                        <w:t>e</w:t>
                      </w:r>
                      <w:r>
                        <w:t xml:space="preserve">ter Durchmesser) </w:t>
                      </w:r>
                    </w:p>
                    <w:p w:rsidR="00703D3C" w:rsidRPr="00EA253D" w:rsidRDefault="00703D3C" w:rsidP="00EA253D">
                      <w:pPr>
                        <w:pStyle w:val="Beschriftung"/>
                        <w:spacing w:after="0"/>
                        <w:rPr>
                          <w:b w:val="0"/>
                          <w:noProof/>
                          <w:sz w:val="24"/>
                        </w:rPr>
                      </w:pPr>
                      <w:r w:rsidRPr="00EA253D">
                        <w:rPr>
                          <w:b w:val="0"/>
                        </w:rPr>
                        <w:t>(Foto: J. Rostek)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de-DE"/>
        </w:rPr>
        <w:drawing>
          <wp:anchor distT="71755" distB="0" distL="114300" distR="114300" simplePos="0" relativeHeight="251658240" behindDoc="1" locked="0" layoutInCell="1" allowOverlap="1" wp14:anchorId="293B8161" wp14:editId="6ADF4193">
            <wp:simplePos x="0" y="0"/>
            <wp:positionH relativeFrom="column">
              <wp:posOffset>4445</wp:posOffset>
            </wp:positionH>
            <wp:positionV relativeFrom="paragraph">
              <wp:posOffset>1017270</wp:posOffset>
            </wp:positionV>
            <wp:extent cx="1479550" cy="2152650"/>
            <wp:effectExtent l="0" t="0" r="6350" b="0"/>
            <wp:wrapSquare wrapText="bothSides"/>
            <wp:docPr id="6" name="Picture 2" descr="C:\Users\suape340\Pictures\Raseneisenstein_Lackprofil_Ausschnitt\D7000_5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suape340\Pictures\Raseneisenstein_Lackprofil_Ausschnitt\D7000_50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DD3">
        <w:t>Die Definition eines Archivbodens erfü</w:t>
      </w:r>
      <w:r w:rsidR="00547DD3">
        <w:t>l</w:t>
      </w:r>
      <w:r w:rsidR="00547DD3">
        <w:t xml:space="preserve">len </w:t>
      </w:r>
      <w:r>
        <w:t>GGe</w:t>
      </w:r>
      <w:r w:rsidR="00547DD3">
        <w:t xml:space="preserve">, da sie </w:t>
      </w:r>
      <w:r w:rsidR="005351D3">
        <w:t xml:space="preserve">als </w:t>
      </w:r>
      <w:r w:rsidR="00547DD3">
        <w:t>rezente Bodenbi</w:t>
      </w:r>
      <w:r w:rsidR="00547DD3">
        <w:t>l</w:t>
      </w:r>
      <w:r w:rsidR="00547DD3">
        <w:t>dungsprozesse</w:t>
      </w:r>
      <w:r w:rsidR="005351D3">
        <w:t xml:space="preserve"> ausgeprägte Eisenve</w:t>
      </w:r>
      <w:r w:rsidR="005351D3">
        <w:t>r</w:t>
      </w:r>
      <w:r w:rsidR="005351D3">
        <w:t>lagerungen, Anreicherungsproze</w:t>
      </w:r>
      <w:r w:rsidR="005351D3">
        <w:t>s</w:t>
      </w:r>
      <w:r w:rsidR="005351D3">
        <w:t xml:space="preserve">se und Redoxprozesse </w:t>
      </w:r>
      <w:r w:rsidR="00547DD3">
        <w:t>abbilden (A</w:t>
      </w:r>
      <w:r w:rsidR="00547DD3">
        <w:t>r</w:t>
      </w:r>
      <w:r w:rsidR="00547DD3">
        <w:t>chiv der Naturgeschic</w:t>
      </w:r>
      <w:r w:rsidR="00547DD3">
        <w:t>h</w:t>
      </w:r>
      <w:r w:rsidR="00547DD3">
        <w:t>te) und auße</w:t>
      </w:r>
      <w:r w:rsidR="00547DD3">
        <w:t>r</w:t>
      </w:r>
      <w:r w:rsidR="00547DD3">
        <w:t>dem sowohl se</w:t>
      </w:r>
      <w:r w:rsidR="00547DD3">
        <w:t>l</w:t>
      </w:r>
      <w:r w:rsidR="00547DD3">
        <w:t>ber nach Abbau des Rasene</w:t>
      </w:r>
      <w:r w:rsidR="00547DD3">
        <w:t>i</w:t>
      </w:r>
      <w:r w:rsidR="00547DD3">
        <w:t>sensteins Sie</w:t>
      </w:r>
      <w:r w:rsidR="00547DD3">
        <w:t>d</w:t>
      </w:r>
      <w:r w:rsidR="00547DD3">
        <w:t>lungs- und Landnutzung</w:t>
      </w:r>
      <w:r w:rsidR="00547DD3">
        <w:t>s</w:t>
      </w:r>
      <w:r w:rsidR="00547DD3">
        <w:t>geschichte b</w:t>
      </w:r>
      <w:r w:rsidR="00547DD3">
        <w:t>e</w:t>
      </w:r>
      <w:r w:rsidR="00547DD3">
        <w:t>zeugen als auch weitere Zeu</w:t>
      </w:r>
      <w:r w:rsidR="00547DD3">
        <w:t>g</w:t>
      </w:r>
      <w:r w:rsidR="00547DD3">
        <w:t>nisse wie arch</w:t>
      </w:r>
      <w:r w:rsidR="00547DD3">
        <w:t>ä</w:t>
      </w:r>
      <w:r w:rsidR="00547DD3">
        <w:t>olog</w:t>
      </w:r>
      <w:r w:rsidR="00547DD3">
        <w:t>i</w:t>
      </w:r>
      <w:r w:rsidR="00547DD3">
        <w:t>sche Funde bewahren (A</w:t>
      </w:r>
      <w:r w:rsidR="00547DD3">
        <w:t>r</w:t>
      </w:r>
      <w:r w:rsidR="00547DD3">
        <w:t>chiv der Kultu</w:t>
      </w:r>
      <w:r w:rsidR="00547DD3">
        <w:t>r</w:t>
      </w:r>
      <w:r w:rsidR="00547DD3">
        <w:t xml:space="preserve">geschichte) </w:t>
      </w:r>
      <w:r w:rsidR="005351D3">
        <w:t>(LABO 2011).</w:t>
      </w:r>
    </w:p>
    <w:p w:rsidR="001D66FC" w:rsidRDefault="001D66FC" w:rsidP="00610566">
      <w:pPr>
        <w:pStyle w:val="berschrift1"/>
      </w:pPr>
    </w:p>
    <w:p w:rsidR="00610566" w:rsidRPr="002B5B40" w:rsidRDefault="001D66FC" w:rsidP="00610566">
      <w:pPr>
        <w:pStyle w:val="berschrift1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7456" behindDoc="0" locked="0" layoutInCell="1" allowOverlap="1" wp14:anchorId="5C9CF148" wp14:editId="0BE14F7F">
            <wp:simplePos x="0" y="0"/>
            <wp:positionH relativeFrom="column">
              <wp:posOffset>80645</wp:posOffset>
            </wp:positionH>
            <wp:positionV relativeFrom="paragraph">
              <wp:posOffset>432435</wp:posOffset>
            </wp:positionV>
            <wp:extent cx="5800725" cy="2195195"/>
            <wp:effectExtent l="114300" t="114300" r="123825" b="10985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195195"/>
                    </a:xfrm>
                    <a:prstGeom prst="rect">
                      <a:avLst/>
                    </a:prstGeom>
                    <a:noFill/>
                    <a:ln w="1143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A40F9" wp14:editId="7A0B444E">
                <wp:simplePos x="0" y="0"/>
                <wp:positionH relativeFrom="column">
                  <wp:posOffset>-49530</wp:posOffset>
                </wp:positionH>
                <wp:positionV relativeFrom="paragraph">
                  <wp:posOffset>2628265</wp:posOffset>
                </wp:positionV>
                <wp:extent cx="5934075" cy="619125"/>
                <wp:effectExtent l="0" t="0" r="9525" b="9525"/>
                <wp:wrapTight wrapText="bothSides">
                  <wp:wrapPolygon edited="0">
                    <wp:start x="0" y="0"/>
                    <wp:lineTo x="0" y="21268"/>
                    <wp:lineTo x="21565" y="21268"/>
                    <wp:lineTo x="21565" y="0"/>
                    <wp:lineTo x="0" y="0"/>
                  </wp:wrapPolygon>
                </wp:wrapTight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619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D3C" w:rsidRPr="005C5762" w:rsidRDefault="00703D3C" w:rsidP="009B6A9A">
                            <w:pPr>
                              <w:pStyle w:val="Beschriftung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Abb. </w:t>
                            </w:r>
                            <w:r w:rsidR="00F7719D">
                              <w:fldChar w:fldCharType="begin"/>
                            </w:r>
                            <w:r w:rsidR="00F7719D">
                              <w:instrText xml:space="preserve"> SEQ Abb. \* ARABIC </w:instrText>
                            </w:r>
                            <w:r w:rsidR="00F7719D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F7719D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 w:rsidR="00FF0CAB">
                              <w:t>Fließdiagramm der Auswahl und Bearbeitung der verschiedenen Datenbanken (</w:t>
                            </w:r>
                            <w:r w:rsidR="00FF0CAB">
                              <w:rPr>
                                <w:vertAlign w:val="superscript"/>
                              </w:rPr>
                              <w:t>1</w:t>
                            </w:r>
                            <w:r w:rsidR="00FF0CAB">
                              <w:t>BPDB = bodenkun</w:t>
                            </w:r>
                            <w:r w:rsidR="00FF0CAB">
                              <w:t>d</w:t>
                            </w:r>
                            <w:r w:rsidR="00FF0CAB">
                              <w:t xml:space="preserve">liche Profile, BS = Bodenschätzung, PLA = Preußische Geologische Landesaufnahme, GLA = Geologische Landesaufnahme, BK25 = Bodenkarte im Maßstab 1:25.000, GK = Geologische Karte im Maßstab 1:25.000, BK25 </w:t>
                            </w:r>
                            <w:proofErr w:type="spellStart"/>
                            <w:r w:rsidR="00FF0CAB">
                              <w:t>shape</w:t>
                            </w:r>
                            <w:proofErr w:type="spellEnd"/>
                            <w:r w:rsidR="00FF0CAB">
                              <w:t xml:space="preserve"> = Flächendaten Bodenkarte im Maßstab 1:25.000, FSK = Forstliche Standortkartierung)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left:0;text-align:left;margin-left:-3.9pt;margin-top:206.95pt;width:467.2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" stroked="f">
                <v:textbox inset="0,0,0,0">
                  <w:txbxContent>
                    <w:p w:rsidR="00703D3C" w:rsidRPr="005C5762" w:rsidRDefault="00703D3C" w:rsidP="009B6A9A">
                      <w:pPr>
                        <w:pStyle w:val="Beschriftung"/>
                        <w:rPr>
                          <w:noProof/>
                          <w:sz w:val="24"/>
                        </w:rPr>
                      </w:pPr>
                      <w:r>
                        <w:t xml:space="preserve">Abb. </w:t>
                      </w:r>
                      <w:r w:rsidR="00F7719D">
                        <w:fldChar w:fldCharType="begin"/>
                      </w:r>
                      <w:r w:rsidR="00F7719D">
                        <w:instrText xml:space="preserve"> SEQ Abb. \* ARABIC </w:instrText>
                      </w:r>
                      <w:r w:rsidR="00F7719D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F7719D"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 w:rsidR="00FF0CAB">
                        <w:t>Fließdiagramm der Auswahl und Bearbeitung der verschiedenen Datenbanken (</w:t>
                      </w:r>
                      <w:r w:rsidR="00FF0CAB">
                        <w:rPr>
                          <w:vertAlign w:val="superscript"/>
                        </w:rPr>
                        <w:t>1</w:t>
                      </w:r>
                      <w:r w:rsidR="00FF0CAB">
                        <w:t>BPDB = bodenkun</w:t>
                      </w:r>
                      <w:r w:rsidR="00FF0CAB">
                        <w:t>d</w:t>
                      </w:r>
                      <w:r w:rsidR="00FF0CAB">
                        <w:t xml:space="preserve">liche Profile, BS = Bodenschätzung, PLA = Preußische Geologische Landesaufnahme, GLA = Geologische Landesaufnahme, BK25 = Bodenkarte im Maßstab 1:25.000, GK = Geologische Karte im Maßstab 1:25.000, BK25 </w:t>
                      </w:r>
                      <w:proofErr w:type="spellStart"/>
                      <w:r w:rsidR="00FF0CAB">
                        <w:t>shape</w:t>
                      </w:r>
                      <w:proofErr w:type="spellEnd"/>
                      <w:r w:rsidR="00FF0CAB">
                        <w:t xml:space="preserve"> = Flächendaten Bodenkarte im Maßstab 1:25.000, FSK = Forstliche Standortkartierung)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50CF">
        <w:t>Datengrundlagen und Vorgehen</w:t>
      </w:r>
    </w:p>
    <w:p w:rsidR="00610566" w:rsidRDefault="00C85AEF" w:rsidP="00610566">
      <w:r>
        <w:t>Verschiedene Datengrundlagen wu</w:t>
      </w:r>
      <w:r>
        <w:t>r</w:t>
      </w:r>
      <w:r>
        <w:t xml:space="preserve">den für die Ausweisung von </w:t>
      </w:r>
      <w:r w:rsidR="00FF0CAB">
        <w:t>GGe</w:t>
      </w:r>
      <w:r>
        <w:t xml:space="preserve">-Suchräumen analysiert. </w:t>
      </w:r>
      <w:r w:rsidR="00863E49">
        <w:t xml:space="preserve">Eine Übersicht über die Auswertungsschritte findet sich in </w:t>
      </w:r>
      <w:r w:rsidR="00863E49" w:rsidRPr="00FF0CAB">
        <w:rPr>
          <w:b/>
        </w:rPr>
        <w:t>Abb. 2</w:t>
      </w:r>
      <w:r w:rsidR="00863E49">
        <w:t xml:space="preserve">. </w:t>
      </w:r>
      <w:r>
        <w:t>Dazu gehörten analoge (als tiff-Dateien vorliegende) Karten, in T</w:t>
      </w:r>
      <w:r>
        <w:t>a</w:t>
      </w:r>
      <w:r>
        <w:t xml:space="preserve">bellenform gespeicherte Profil- und Schichtdaten sowie digitale Flächen: </w:t>
      </w:r>
    </w:p>
    <w:p w:rsidR="00C85AEF" w:rsidRPr="00C85AEF" w:rsidRDefault="00C85AEF" w:rsidP="00C85AEF">
      <w:pPr>
        <w:pStyle w:val="Listenabsatz"/>
        <w:numPr>
          <w:ilvl w:val="0"/>
          <w:numId w:val="1"/>
        </w:numPr>
        <w:jc w:val="left"/>
        <w:rPr>
          <w:sz w:val="22"/>
        </w:rPr>
      </w:pPr>
      <w:r w:rsidRPr="00C85AEF">
        <w:rPr>
          <w:sz w:val="22"/>
        </w:rPr>
        <w:t>Bodenkundliche und Geologische Ka</w:t>
      </w:r>
      <w:r w:rsidRPr="00C85AEF">
        <w:rPr>
          <w:sz w:val="22"/>
        </w:rPr>
        <w:t>r</w:t>
      </w:r>
      <w:r w:rsidRPr="00C85AEF">
        <w:rPr>
          <w:sz w:val="22"/>
        </w:rPr>
        <w:t>ten</w:t>
      </w:r>
      <w:r>
        <w:rPr>
          <w:sz w:val="22"/>
        </w:rPr>
        <w:t xml:space="preserve"> im Maßstab</w:t>
      </w:r>
      <w:r w:rsidRPr="00C85AEF">
        <w:rPr>
          <w:sz w:val="22"/>
        </w:rPr>
        <w:t xml:space="preserve"> 1:25.000</w:t>
      </w:r>
      <w:r>
        <w:rPr>
          <w:sz w:val="22"/>
        </w:rPr>
        <w:t xml:space="preserve"> </w:t>
      </w:r>
      <w:r w:rsidRPr="00C85AEF">
        <w:rPr>
          <w:sz w:val="22"/>
        </w:rPr>
        <w:t>für ca. 50 % der Landesfläche</w:t>
      </w:r>
    </w:p>
    <w:p w:rsidR="00C85AEF" w:rsidRPr="00C85AEF" w:rsidRDefault="00C85AEF" w:rsidP="00C85AEF">
      <w:pPr>
        <w:pStyle w:val="Listenabsatz"/>
        <w:numPr>
          <w:ilvl w:val="0"/>
          <w:numId w:val="1"/>
        </w:numPr>
        <w:jc w:val="left"/>
        <w:rPr>
          <w:sz w:val="22"/>
        </w:rPr>
      </w:pPr>
      <w:r w:rsidRPr="00C85AEF">
        <w:rPr>
          <w:sz w:val="22"/>
        </w:rPr>
        <w:t>Bodenkundliche Profile (ca. 162.000 Profile)</w:t>
      </w:r>
    </w:p>
    <w:p w:rsidR="00C85AEF" w:rsidRPr="00C85AEF" w:rsidRDefault="00C85AEF" w:rsidP="00C85AEF">
      <w:pPr>
        <w:pStyle w:val="Listenabsatz"/>
        <w:numPr>
          <w:ilvl w:val="0"/>
          <w:numId w:val="1"/>
        </w:numPr>
        <w:jc w:val="left"/>
        <w:rPr>
          <w:sz w:val="22"/>
        </w:rPr>
      </w:pPr>
      <w:r w:rsidRPr="00C85AEF">
        <w:rPr>
          <w:sz w:val="22"/>
        </w:rPr>
        <w:t>Bodenschätzung (ca. 350.000 Profile)</w:t>
      </w:r>
    </w:p>
    <w:p w:rsidR="00C85AEF" w:rsidRPr="00C85AEF" w:rsidRDefault="00C85AEF" w:rsidP="00C85AEF">
      <w:pPr>
        <w:pStyle w:val="Listenabsatz"/>
        <w:numPr>
          <w:ilvl w:val="0"/>
          <w:numId w:val="1"/>
        </w:numPr>
        <w:jc w:val="left"/>
        <w:rPr>
          <w:sz w:val="22"/>
        </w:rPr>
      </w:pPr>
      <w:r w:rsidRPr="00C85AEF">
        <w:rPr>
          <w:sz w:val="22"/>
        </w:rPr>
        <w:t>Preußische Geologische Landesau</w:t>
      </w:r>
      <w:r w:rsidRPr="00C85AEF">
        <w:rPr>
          <w:sz w:val="22"/>
        </w:rPr>
        <w:t>f</w:t>
      </w:r>
      <w:r w:rsidRPr="00C85AEF">
        <w:rPr>
          <w:sz w:val="22"/>
        </w:rPr>
        <w:t>nahme (ca. 80.000 Kurzprofile)</w:t>
      </w:r>
    </w:p>
    <w:p w:rsidR="00C85AEF" w:rsidRPr="00C85AEF" w:rsidRDefault="00C85AEF" w:rsidP="00C85AEF">
      <w:pPr>
        <w:pStyle w:val="Listenabsatz"/>
        <w:numPr>
          <w:ilvl w:val="0"/>
          <w:numId w:val="1"/>
        </w:numPr>
        <w:jc w:val="left"/>
        <w:rPr>
          <w:sz w:val="22"/>
        </w:rPr>
      </w:pPr>
      <w:r w:rsidRPr="00C85AEF">
        <w:rPr>
          <w:sz w:val="22"/>
        </w:rPr>
        <w:t>Geologische Landesaufnahme</w:t>
      </w:r>
      <w:r>
        <w:rPr>
          <w:sz w:val="22"/>
        </w:rPr>
        <w:t xml:space="preserve"> </w:t>
      </w:r>
      <w:r w:rsidRPr="00C85AEF">
        <w:rPr>
          <w:sz w:val="22"/>
        </w:rPr>
        <w:t>(ca. 53.000 Schichtenverzeichnisse)</w:t>
      </w:r>
    </w:p>
    <w:p w:rsidR="00C85AEF" w:rsidRPr="00C85AEF" w:rsidRDefault="00C85AEF" w:rsidP="00C85AEF">
      <w:pPr>
        <w:pStyle w:val="Listenabsatz"/>
        <w:numPr>
          <w:ilvl w:val="0"/>
          <w:numId w:val="1"/>
        </w:numPr>
        <w:jc w:val="left"/>
        <w:rPr>
          <w:sz w:val="22"/>
        </w:rPr>
      </w:pPr>
      <w:r w:rsidRPr="00C85AEF">
        <w:rPr>
          <w:sz w:val="22"/>
        </w:rPr>
        <w:t>Bodenkundliche Karten als digitale Fl</w:t>
      </w:r>
      <w:r w:rsidRPr="00C85AEF">
        <w:rPr>
          <w:sz w:val="22"/>
        </w:rPr>
        <w:t>ä</w:t>
      </w:r>
      <w:r w:rsidRPr="00C85AEF">
        <w:rPr>
          <w:sz w:val="22"/>
        </w:rPr>
        <w:t>chen</w:t>
      </w:r>
      <w:r>
        <w:rPr>
          <w:sz w:val="22"/>
        </w:rPr>
        <w:t xml:space="preserve"> </w:t>
      </w:r>
      <w:r w:rsidRPr="00C85AEF">
        <w:rPr>
          <w:sz w:val="22"/>
        </w:rPr>
        <w:t>(ca. 50.000 Flächen)</w:t>
      </w:r>
    </w:p>
    <w:p w:rsidR="00C85AEF" w:rsidRPr="00C85AEF" w:rsidRDefault="00C85AEF" w:rsidP="00C85AEF">
      <w:pPr>
        <w:pStyle w:val="Listenabsatz"/>
        <w:numPr>
          <w:ilvl w:val="0"/>
          <w:numId w:val="1"/>
        </w:numPr>
        <w:jc w:val="left"/>
        <w:rPr>
          <w:sz w:val="22"/>
        </w:rPr>
      </w:pPr>
      <w:r w:rsidRPr="00C85AEF">
        <w:rPr>
          <w:sz w:val="22"/>
        </w:rPr>
        <w:t>Forstliche Standortkartierung</w:t>
      </w:r>
      <w:r>
        <w:rPr>
          <w:sz w:val="22"/>
        </w:rPr>
        <w:t xml:space="preserve"> </w:t>
      </w:r>
      <w:r w:rsidRPr="00C85AEF">
        <w:rPr>
          <w:sz w:val="22"/>
        </w:rPr>
        <w:t>(ca. 120.000 Flächen, entsprechend ca. 85 % der Forsten)</w:t>
      </w:r>
    </w:p>
    <w:p w:rsidR="00C85AEF" w:rsidRDefault="00C85AEF" w:rsidP="00C85AEF">
      <w:r>
        <w:t xml:space="preserve">Während die Bodenkundlichen und Geologischen Karten </w:t>
      </w:r>
      <w:r w:rsidR="00863E49">
        <w:t xml:space="preserve">(BK25, GK25) </w:t>
      </w:r>
      <w:r>
        <w:t>v</w:t>
      </w:r>
      <w:r>
        <w:t>i</w:t>
      </w:r>
      <w:r>
        <w:t>suell nach den Signaturen für Ra. abg</w:t>
      </w:r>
      <w:r>
        <w:t>e</w:t>
      </w:r>
      <w:r>
        <w:t>sucht wurden, erfolgte bei den in Tabe</w:t>
      </w:r>
      <w:r>
        <w:t>l</w:t>
      </w:r>
      <w:r>
        <w:t>lenform vo</w:t>
      </w:r>
      <w:r>
        <w:t>r</w:t>
      </w:r>
      <w:r>
        <w:t>liegenden Informationen der Bodenkundlichen Profile (</w:t>
      </w:r>
      <w:r w:rsidR="00863E49">
        <w:t xml:space="preserve">BPDB, </w:t>
      </w:r>
      <w:r>
        <w:t>aufg</w:t>
      </w:r>
      <w:r>
        <w:t>e</w:t>
      </w:r>
      <w:r>
        <w:t>nommen nach Bodenkundlicher Kartie</w:t>
      </w:r>
      <w:r>
        <w:t>r</w:t>
      </w:r>
      <w:r>
        <w:t>anleitung), der Bode</w:t>
      </w:r>
      <w:r w:rsidR="00741297">
        <w:t>n</w:t>
      </w:r>
      <w:r>
        <w:t>schä</w:t>
      </w:r>
      <w:r>
        <w:t>t</w:t>
      </w:r>
      <w:r>
        <w:t xml:space="preserve">zung </w:t>
      </w:r>
      <w:r w:rsidR="00863E49">
        <w:t xml:space="preserve">(BS) sowie der </w:t>
      </w:r>
      <w:r>
        <w:t>Preußischen und der Geol</w:t>
      </w:r>
      <w:r>
        <w:t>o</w:t>
      </w:r>
      <w:r>
        <w:t xml:space="preserve">gischen Landesaufnahme </w:t>
      </w:r>
      <w:r w:rsidR="00863E49">
        <w:t xml:space="preserve">(PLA, GLA) </w:t>
      </w:r>
      <w:r>
        <w:t>eine Recherche in den einzelnen Fe</w:t>
      </w:r>
      <w:r>
        <w:t>l</w:t>
      </w:r>
      <w:r>
        <w:t>dern</w:t>
      </w:r>
      <w:r w:rsidR="007B467B">
        <w:t xml:space="preserve"> auf b</w:t>
      </w:r>
      <w:r w:rsidR="007B467B">
        <w:t>e</w:t>
      </w:r>
      <w:r w:rsidR="007B467B">
        <w:t xml:space="preserve">stimmte Stichworte, Symbole </w:t>
      </w:r>
      <w:r w:rsidR="007B467B">
        <w:lastRenderedPageBreak/>
        <w:t xml:space="preserve">und Abkürzungen. Die Bodenkundlichen Karten als digitale Flächen </w:t>
      </w:r>
      <w:r w:rsidR="00863E49">
        <w:t>(BK25 sh</w:t>
      </w:r>
      <w:r w:rsidR="00863E49">
        <w:t>a</w:t>
      </w:r>
      <w:r w:rsidR="00863E49">
        <w:t xml:space="preserve">pe) </w:t>
      </w:r>
      <w:r w:rsidR="007B467B">
        <w:t>sowie die Forstliche Standortkarti</w:t>
      </w:r>
      <w:r w:rsidR="007B467B">
        <w:t>e</w:t>
      </w:r>
      <w:r w:rsidR="007B467B">
        <w:t xml:space="preserve">rung </w:t>
      </w:r>
      <w:r w:rsidR="00863E49">
        <w:t xml:space="preserve">(FSK </w:t>
      </w:r>
      <w:proofErr w:type="spellStart"/>
      <w:r w:rsidR="00863E49">
        <w:t>shape</w:t>
      </w:r>
      <w:proofErr w:type="spellEnd"/>
      <w:r w:rsidR="00863E49">
        <w:t xml:space="preserve">) </w:t>
      </w:r>
      <w:r w:rsidR="007B467B">
        <w:t>wurden ähnlich au</w:t>
      </w:r>
      <w:r w:rsidR="007B467B">
        <w:t>s</w:t>
      </w:r>
      <w:r w:rsidR="007B467B">
        <w:t xml:space="preserve">gewertet. </w:t>
      </w:r>
      <w:r w:rsidR="009B6A9A">
        <w:t xml:space="preserve">Als </w:t>
      </w:r>
      <w:r w:rsidR="009B6A9A" w:rsidRPr="009B6A9A">
        <w:rPr>
          <w:i/>
        </w:rPr>
        <w:t>s</w:t>
      </w:r>
      <w:r w:rsidR="009B6A9A" w:rsidRPr="009B6A9A">
        <w:rPr>
          <w:i/>
        </w:rPr>
        <w:t>i</w:t>
      </w:r>
      <w:r w:rsidR="009B6A9A" w:rsidRPr="009B6A9A">
        <w:rPr>
          <w:i/>
        </w:rPr>
        <w:t>chere Vorkommen</w:t>
      </w:r>
      <w:r w:rsidR="009B6A9A">
        <w:t xml:space="preserve"> </w:t>
      </w:r>
      <w:proofErr w:type="spellStart"/>
      <w:r w:rsidR="009B6A9A">
        <w:t>wur</w:t>
      </w:r>
      <w:proofErr w:type="spellEnd"/>
      <w:r w:rsidR="001D66FC" w:rsidRPr="001D66FC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B6A9A">
        <w:t>den diejenigen bezeic</w:t>
      </w:r>
      <w:r w:rsidR="009B6A9A">
        <w:t>h</w:t>
      </w:r>
      <w:r w:rsidR="009B6A9A">
        <w:t>net, welche direkt und unmissverständlich auf Ra. hinde</w:t>
      </w:r>
      <w:r w:rsidR="009B6A9A">
        <w:t>u</w:t>
      </w:r>
      <w:r w:rsidR="009B6A9A">
        <w:t xml:space="preserve">teten, als </w:t>
      </w:r>
      <w:r w:rsidR="009B6A9A" w:rsidRPr="009B6A9A">
        <w:rPr>
          <w:i/>
        </w:rPr>
        <w:t>uns</w:t>
      </w:r>
      <w:r w:rsidR="009B6A9A" w:rsidRPr="009B6A9A">
        <w:rPr>
          <w:i/>
        </w:rPr>
        <w:t>i</w:t>
      </w:r>
      <w:r w:rsidR="009B6A9A" w:rsidRPr="009B6A9A">
        <w:rPr>
          <w:i/>
        </w:rPr>
        <w:t>chere</w:t>
      </w:r>
      <w:r w:rsidR="009B6A9A">
        <w:t xml:space="preserve"> jene, welche erst über Ableitungen (z. B. aus Substrat, Kalk, Grundwasserstand etc.) zu wah</w:t>
      </w:r>
      <w:r w:rsidR="009B6A9A">
        <w:t>r</w:t>
      </w:r>
      <w:r w:rsidR="009B6A9A">
        <w:t>scheinlich Ra.-tragenden Profilen wu</w:t>
      </w:r>
      <w:r w:rsidR="009B6A9A">
        <w:t>r</w:t>
      </w:r>
      <w:r w:rsidR="009B6A9A">
        <w:t>den.</w:t>
      </w:r>
      <w:r w:rsidR="00FF0CAB">
        <w:t xml:space="preserve"> </w:t>
      </w:r>
    </w:p>
    <w:p w:rsidR="000347B9" w:rsidRDefault="001D66FC" w:rsidP="00C85A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4E99A" wp14:editId="7FD28BE3">
                <wp:simplePos x="0" y="0"/>
                <wp:positionH relativeFrom="column">
                  <wp:posOffset>71120</wp:posOffset>
                </wp:positionH>
                <wp:positionV relativeFrom="paragraph">
                  <wp:posOffset>3472815</wp:posOffset>
                </wp:positionV>
                <wp:extent cx="5791200" cy="409575"/>
                <wp:effectExtent l="0" t="0" r="0" b="9525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09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D3C" w:rsidRPr="00541B92" w:rsidRDefault="00703D3C" w:rsidP="009B6A9A">
                            <w:pPr>
                              <w:pStyle w:val="Beschriftung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Abb. </w:t>
                            </w:r>
                            <w:r w:rsidR="00F7719D">
                              <w:fldChar w:fldCharType="begin"/>
                            </w:r>
                            <w:r w:rsidR="00F7719D">
                              <w:instrText xml:space="preserve"> SEQ Abb. \* ARABIC </w:instrText>
                            </w:r>
                            <w:r w:rsidR="00F7719D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 w:rsidR="00F7719D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Flächen-Vorkommen von </w:t>
                            </w:r>
                            <w:proofErr w:type="spellStart"/>
                            <w:r w:rsidR="001D66FC">
                              <w:t>Brauneisengleyen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D66FC">
                              <w:t>(</w:t>
                            </w:r>
                            <w:proofErr w:type="spellStart"/>
                            <w:r w:rsidR="001D66FC">
                              <w:t>GGe</w:t>
                            </w:r>
                            <w:proofErr w:type="spellEnd"/>
                            <w:r w:rsidR="001D66FC">
                              <w:t xml:space="preserve">) </w:t>
                            </w:r>
                            <w:r>
                              <w:t>abgeleitet aus allen Daten</w:t>
                            </w:r>
                            <w:r w:rsidR="001D66FC">
                              <w:t>banken in Relation zu den Naturräumen Schleswig-Holsteins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8" type="#_x0000_t202" style="position:absolute;left:0;text-align:left;margin-left:5.6pt;margin-top:273.45pt;width:456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" stroked="f">
                <v:textbox inset="0,0,0,0">
                  <w:txbxContent>
                    <w:p w:rsidR="00703D3C" w:rsidRPr="00541B92" w:rsidRDefault="00703D3C" w:rsidP="009B6A9A">
                      <w:pPr>
                        <w:pStyle w:val="Beschriftung"/>
                        <w:rPr>
                          <w:noProof/>
                          <w:sz w:val="24"/>
                        </w:rPr>
                      </w:pPr>
                      <w:r>
                        <w:t xml:space="preserve">Abb. </w:t>
                      </w:r>
                      <w:r w:rsidR="00F7719D">
                        <w:fldChar w:fldCharType="begin"/>
                      </w:r>
                      <w:r w:rsidR="00F7719D">
                        <w:instrText xml:space="preserve"> SEQ Abb. \* ARABIC </w:instrText>
                      </w:r>
                      <w:r w:rsidR="00F7719D"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 w:rsidR="00F7719D">
                        <w:rPr>
                          <w:noProof/>
                        </w:rPr>
                        <w:fldChar w:fldCharType="end"/>
                      </w:r>
                      <w:r>
                        <w:t xml:space="preserve">: Flächen-Vorkommen von </w:t>
                      </w:r>
                      <w:proofErr w:type="spellStart"/>
                      <w:r w:rsidR="001D66FC">
                        <w:t>Brauneisengleyen</w:t>
                      </w:r>
                      <w:proofErr w:type="spellEnd"/>
                      <w:r>
                        <w:t xml:space="preserve"> </w:t>
                      </w:r>
                      <w:r w:rsidR="001D66FC">
                        <w:t>(</w:t>
                      </w:r>
                      <w:proofErr w:type="spellStart"/>
                      <w:r w:rsidR="001D66FC">
                        <w:t>GGe</w:t>
                      </w:r>
                      <w:proofErr w:type="spellEnd"/>
                      <w:r w:rsidR="001D66FC">
                        <w:t xml:space="preserve">) </w:t>
                      </w:r>
                      <w:r>
                        <w:t>abgeleitet aus allen Daten</w:t>
                      </w:r>
                      <w:r w:rsidR="001D66FC">
                        <w:t>banken in Relation zu den Naturräumen Schleswig-Holsteins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0FCB1C04" wp14:editId="7DFE6C7D">
            <wp:simplePos x="0" y="0"/>
            <wp:positionH relativeFrom="column">
              <wp:posOffset>13970</wp:posOffset>
            </wp:positionH>
            <wp:positionV relativeFrom="paragraph">
              <wp:posOffset>-2165985</wp:posOffset>
            </wp:positionV>
            <wp:extent cx="5886450" cy="5641975"/>
            <wp:effectExtent l="0" t="0" r="0" b="0"/>
            <wp:wrapTight wrapText="bothSides">
              <wp:wrapPolygon edited="0">
                <wp:start x="0" y="0"/>
                <wp:lineTo x="0" y="21515"/>
                <wp:lineTo x="21530" y="21515"/>
                <wp:lineTo x="2153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64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CAB">
        <w:t>Um schlussendlich eine Karte mit Suc</w:t>
      </w:r>
      <w:r w:rsidR="00FF0CAB">
        <w:t>h</w:t>
      </w:r>
      <w:r w:rsidR="00FF0CAB">
        <w:t>räumen ausweisen zu können, wurden den tabellarischen Bohrpunkten Fl</w:t>
      </w:r>
      <w:r w:rsidR="00FF0CAB">
        <w:t>ä</w:t>
      </w:r>
      <w:r w:rsidR="00FF0CAB">
        <w:t>chen zugeordnet: Hierzu wurde um die Boh</w:t>
      </w:r>
      <w:r w:rsidR="00FF0CAB">
        <w:t>r</w:t>
      </w:r>
      <w:r w:rsidR="00FF0CAB">
        <w:t>punkte eine kreisfö</w:t>
      </w:r>
      <w:r w:rsidR="00FF0CAB">
        <w:t>r</w:t>
      </w:r>
      <w:r w:rsidR="00FF0CAB">
        <w:t xml:space="preserve">mige Fläche mit 100 m Radius erstellt, die anschließend mit </w:t>
      </w:r>
      <w:bookmarkStart w:id="3" w:name="_GoBack"/>
      <w:bookmarkEnd w:id="3"/>
      <w:r w:rsidR="00FF0CAB">
        <w:t>einer Geomorphografischen Karte ve</w:t>
      </w:r>
      <w:r w:rsidR="00FF0CAB">
        <w:t>r</w:t>
      </w:r>
      <w:r w:rsidR="00FF0CAB">
        <w:t>schnitten wurde, um nur die auf gleicher Höhe liegenden Bereiche in den Suc</w:t>
      </w:r>
      <w:r w:rsidR="00FF0CAB">
        <w:t>h</w:t>
      </w:r>
      <w:r w:rsidR="00FF0CAB">
        <w:t>raum einzubeziehen. Ausnahme waren die flächenbestimmenden Boh</w:t>
      </w:r>
      <w:r w:rsidR="00FF0CAB">
        <w:t>r</w:t>
      </w:r>
      <w:r w:rsidR="00FF0CAB">
        <w:t>punkte der Bodenschätzung, denen j</w:t>
      </w:r>
      <w:r w:rsidR="00FF0CAB">
        <w:t>e</w:t>
      </w:r>
      <w:r w:rsidR="00FF0CAB">
        <w:t>weils die Fläche zugewiesen wurde, die sie r</w:t>
      </w:r>
      <w:r w:rsidR="00FF0CAB">
        <w:t>e</w:t>
      </w:r>
      <w:r w:rsidR="00FF0CAB">
        <w:t>präsenti</w:t>
      </w:r>
      <w:r w:rsidR="00FF0CAB">
        <w:t>e</w:t>
      </w:r>
      <w:r w:rsidR="00FF0CAB">
        <w:t>ren.</w:t>
      </w:r>
      <w:r w:rsidR="00FF0CAB" w:rsidRPr="00FF0CAB">
        <w:t xml:space="preserve"> </w:t>
      </w:r>
    </w:p>
    <w:p w:rsidR="001D66FC" w:rsidRPr="00DD3CAB" w:rsidRDefault="001D66FC" w:rsidP="00C85AEF"/>
    <w:p w:rsidR="00610566" w:rsidRDefault="000250CF" w:rsidP="00610566">
      <w:pPr>
        <w:pStyle w:val="berschrift1"/>
      </w:pPr>
      <w:r w:rsidRPr="000250CF">
        <w:t xml:space="preserve">Suchräume für </w:t>
      </w:r>
      <w:proofErr w:type="spellStart"/>
      <w:r w:rsidRPr="000250CF">
        <w:t>Brauneisengleyvo</w:t>
      </w:r>
      <w:r w:rsidRPr="000250CF">
        <w:t>r</w:t>
      </w:r>
      <w:r w:rsidRPr="000250CF">
        <w:t>kommen</w:t>
      </w:r>
      <w:proofErr w:type="spellEnd"/>
      <w:r w:rsidRPr="000250CF">
        <w:t xml:space="preserve"> in Schle</w:t>
      </w:r>
      <w:r w:rsidRPr="000250CF">
        <w:t>s</w:t>
      </w:r>
      <w:r w:rsidRPr="000250CF">
        <w:t>wig-Holstein</w:t>
      </w:r>
    </w:p>
    <w:p w:rsidR="00703D3C" w:rsidRDefault="00703D3C" w:rsidP="00703D3C">
      <w:r>
        <w:t>Der Hauptteil der Suchräume findet sich im mittleren Teil Schleswig-Holsteins, so liegen 82 % der Flächen auf der Hohen und Niederen Geest</w:t>
      </w:r>
      <w:r w:rsidR="00D03644">
        <w:t xml:space="preserve"> (</w:t>
      </w:r>
      <w:r w:rsidR="00D03644" w:rsidRPr="00D03644">
        <w:rPr>
          <w:b/>
        </w:rPr>
        <w:t>Abb. 3</w:t>
      </w:r>
      <w:r w:rsidR="00D03644">
        <w:t>)</w:t>
      </w:r>
      <w:r>
        <w:t xml:space="preserve">. Dabei </w:t>
      </w:r>
      <w:r>
        <w:lastRenderedPageBreak/>
        <w:t>zeigen sich Schwe</w:t>
      </w:r>
      <w:r>
        <w:t>r</w:t>
      </w:r>
      <w:r>
        <w:t xml:space="preserve">punkte besonders im Norden Schleswig-Holsteins, an der </w:t>
      </w:r>
      <w:r w:rsidR="00863E49">
        <w:t>d</w:t>
      </w:r>
      <w:r w:rsidR="00863E49">
        <w:t>ä</w:t>
      </w:r>
      <w:r w:rsidR="00863E49">
        <w:t>nischen</w:t>
      </w:r>
      <w:r>
        <w:t xml:space="preserve"> Grenze, sowie im Raum Ne</w:t>
      </w:r>
      <w:r>
        <w:t>u</w:t>
      </w:r>
      <w:r>
        <w:t>münster, Rend</w:t>
      </w:r>
      <w:r>
        <w:t>s</w:t>
      </w:r>
      <w:r>
        <w:t>burg. Insgesamt wurden 36,5 km² Suchraum au</w:t>
      </w:r>
      <w:r>
        <w:t>s</w:t>
      </w:r>
      <w:r>
        <w:t>gewiesen, dies entspricht auf die Gesamtfläche von Schleswig-Holstein (15.807 km²) bez</w:t>
      </w:r>
      <w:r>
        <w:t>o</w:t>
      </w:r>
      <w:r>
        <w:t>gen einem Anteil von 0,231 %. Die meisten Funde resultieren aus der B</w:t>
      </w:r>
      <w:r>
        <w:t>o</w:t>
      </w:r>
      <w:r>
        <w:t>denschätzung (22 km²), die auch die höchste Datendichte aufweist. Aber auch die Forstliche Standortkartierung, die Bodenkundlichen und Geologischen Karten sowie die Bodenkundlichen Prof</w:t>
      </w:r>
      <w:r>
        <w:t>i</w:t>
      </w:r>
      <w:r>
        <w:t>le fügen z</w:t>
      </w:r>
      <w:r>
        <w:t>u</w:t>
      </w:r>
      <w:r>
        <w:t xml:space="preserve">sammen </w:t>
      </w:r>
      <w:r w:rsidR="00D03644">
        <w:t>12 km² hinzu.</w:t>
      </w:r>
    </w:p>
    <w:p w:rsidR="009B6A9A" w:rsidRDefault="00D03644" w:rsidP="00610566">
      <w:r>
        <w:t>Im Rahmen des Programms Nord und der Flurbereinigung, aber auch zur Er</w:t>
      </w:r>
      <w:r>
        <w:t>z</w:t>
      </w:r>
      <w:r>
        <w:t xml:space="preserve">gewinnung sind viele </w:t>
      </w:r>
      <w:r w:rsidR="00863E49">
        <w:t>GGe</w:t>
      </w:r>
      <w:r>
        <w:t xml:space="preserve"> tief umgebr</w:t>
      </w:r>
      <w:r>
        <w:t>o</w:t>
      </w:r>
      <w:r>
        <w:t>chen worden. Schmidt (2006) spricht von ca. 500 km² Ra.-Gewinnungs- bzw. Tiefumbruchsflächen im gesamten Al</w:t>
      </w:r>
      <w:r>
        <w:t>t</w:t>
      </w:r>
      <w:r>
        <w:t>moränengebiet Deutschlands, so dass für Schleswig-Holstein ein größerer Teil zu erwarten ist. Die Analyse der Date</w:t>
      </w:r>
      <w:r>
        <w:t>n</w:t>
      </w:r>
      <w:r>
        <w:t xml:space="preserve">banken konnte jedoch nur bei 3,81 % der </w:t>
      </w:r>
      <w:r w:rsidR="00863E49">
        <w:t>GGe</w:t>
      </w:r>
      <w:r>
        <w:t xml:space="preserve"> eine Zerstörung nachweisen (GGe-YU), also auf 1,39 km². </w:t>
      </w:r>
    </w:p>
    <w:p w:rsidR="001D66FC" w:rsidRPr="00703D3C" w:rsidRDefault="001D66FC" w:rsidP="00610566"/>
    <w:p w:rsidR="00610566" w:rsidRPr="000250CF" w:rsidRDefault="000250CF" w:rsidP="00610566">
      <w:pPr>
        <w:pStyle w:val="berschrift1"/>
      </w:pPr>
      <w:r w:rsidRPr="000250CF">
        <w:t>Schlussbetrachtung</w:t>
      </w:r>
    </w:p>
    <w:p w:rsidR="001501C4" w:rsidRDefault="000250CF" w:rsidP="000250CF">
      <w:r w:rsidRPr="000250CF">
        <w:t>Die Verteilung der Suchräume über Schleswig-Holstein entspricht der Erwa</w:t>
      </w:r>
      <w:r w:rsidRPr="000250CF">
        <w:t>r</w:t>
      </w:r>
      <w:r w:rsidRPr="000250CF">
        <w:t>tung, dass die m</w:t>
      </w:r>
      <w:r>
        <w:t>e</w:t>
      </w:r>
      <w:r w:rsidRPr="000250CF">
        <w:t xml:space="preserve">isten Funde </w:t>
      </w:r>
      <w:r w:rsidR="001D66FC">
        <w:t>in der Niederen Geest (</w:t>
      </w:r>
      <w:proofErr w:type="spellStart"/>
      <w:r w:rsidR="001D66FC">
        <w:t>Vorgeest</w:t>
      </w:r>
      <w:proofErr w:type="spellEnd"/>
      <w:r w:rsidR="001D66FC">
        <w:t>)</w:t>
      </w:r>
      <w:r w:rsidRPr="000250CF">
        <w:t xml:space="preserve"> anzutreffen sind.</w:t>
      </w:r>
      <w:r>
        <w:t xml:space="preserve"> Dennoch ist im Gegensatz zu ält</w:t>
      </w:r>
      <w:r>
        <w:t>e</w:t>
      </w:r>
      <w:r>
        <w:t>ren Kartenwe</w:t>
      </w:r>
      <w:r>
        <w:t>r</w:t>
      </w:r>
      <w:r>
        <w:t>ken kein höherer Anteil in der Region um Neumünster und Rend</w:t>
      </w:r>
      <w:r>
        <w:t>s</w:t>
      </w:r>
      <w:r>
        <w:t xml:space="preserve">burg vorgefunden worden, jedoch in der Nähe zur dänischen Grenze. </w:t>
      </w:r>
      <w:r w:rsidR="00D03644">
        <w:t>Hier ist ursächlich, dass der Landesteil Schle</w:t>
      </w:r>
      <w:r w:rsidR="00D03644">
        <w:t>s</w:t>
      </w:r>
      <w:r w:rsidR="00D03644">
        <w:t xml:space="preserve">wig besonders stark durch Gley-Podsol-Genese geprägt ist. </w:t>
      </w:r>
      <w:r w:rsidR="001501C4">
        <w:t>Z</w:t>
      </w:r>
      <w:r w:rsidR="00D03644">
        <w:t>udem ist direkt an der d</w:t>
      </w:r>
      <w:r w:rsidR="00D03644">
        <w:t>ä</w:t>
      </w:r>
      <w:r w:rsidR="00D03644">
        <w:t>nischen Grenze eine der größten Abflussrinnen</w:t>
      </w:r>
      <w:r w:rsidR="001501C4">
        <w:t xml:space="preserve"> zu finden</w:t>
      </w:r>
      <w:r w:rsidR="00D03644">
        <w:t>, die viele der kleinen Abflüsse aus der Schle</w:t>
      </w:r>
      <w:r w:rsidR="00D03644">
        <w:t>s</w:t>
      </w:r>
      <w:r w:rsidR="00D03644">
        <w:t xml:space="preserve">wigschen Geest aufnimmt. </w:t>
      </w:r>
      <w:r w:rsidR="001501C4">
        <w:t>Das Grun</w:t>
      </w:r>
      <w:r w:rsidR="001501C4">
        <w:t>d</w:t>
      </w:r>
      <w:r w:rsidR="001501C4">
        <w:t>wasser ist dort also besonders eise</w:t>
      </w:r>
      <w:r w:rsidR="001501C4">
        <w:t>n</w:t>
      </w:r>
      <w:r w:rsidR="001501C4">
        <w:t xml:space="preserve">reich, sodass sich </w:t>
      </w:r>
      <w:r w:rsidR="00863E49">
        <w:t>GGe</w:t>
      </w:r>
      <w:r w:rsidR="001501C4">
        <w:t xml:space="preserve"> bevorzugt bilden konnten.</w:t>
      </w:r>
    </w:p>
    <w:p w:rsidR="00D03644" w:rsidRDefault="001501C4" w:rsidP="000250CF">
      <w:r>
        <w:t>D</w:t>
      </w:r>
      <w:r w:rsidR="000250CF">
        <w:t xml:space="preserve">er Anteil der bereits durch Tiefumbruch zerstörten </w:t>
      </w:r>
      <w:r w:rsidR="00863E49">
        <w:t>GGe</w:t>
      </w:r>
      <w:r w:rsidR="000250CF">
        <w:t xml:space="preserve"> </w:t>
      </w:r>
      <w:r>
        <w:t xml:space="preserve">ist </w:t>
      </w:r>
      <w:r w:rsidR="000250CF">
        <w:t>verhältnismäßig g</w:t>
      </w:r>
      <w:r w:rsidR="000250CF">
        <w:t>e</w:t>
      </w:r>
      <w:r w:rsidR="000250CF">
        <w:lastRenderedPageBreak/>
        <w:t>ring, besonders im Abgleich mit Zahlen zur Flurbereinigung. Hier ist davon au</w:t>
      </w:r>
      <w:r w:rsidR="000250CF">
        <w:t>s</w:t>
      </w:r>
      <w:r w:rsidR="000250CF">
        <w:t>zugehen, dass aufgrund des Alters ein</w:t>
      </w:r>
      <w:r w:rsidR="000250CF">
        <w:t>i</w:t>
      </w:r>
      <w:r w:rsidR="000250CF">
        <w:t>ger Datengrundlagen (z. B. Bode</w:t>
      </w:r>
      <w:r w:rsidR="000250CF">
        <w:t>n</w:t>
      </w:r>
      <w:r w:rsidR="000250CF">
        <w:t>schätzung z. T. 60 – 70 Jahre alt) die Informationen inzwischen überholt sind. Klarheit können hierbei nur gezielte Probebohrungen bringen, die jedoch nur im Falle einer Baumaßnahme durchz</w:t>
      </w:r>
      <w:r w:rsidR="000250CF">
        <w:t>u</w:t>
      </w:r>
      <w:r w:rsidR="000250CF">
        <w:t>führen sind. Somit können die hier g</w:t>
      </w:r>
      <w:r w:rsidR="000250CF">
        <w:t>e</w:t>
      </w:r>
      <w:r w:rsidR="000250CF">
        <w:t>wonnenen Informationen eine Basis für stärker abgesicherte Kartenwerke im Maßstab von 1:25.000 zur Berücksicht</w:t>
      </w:r>
      <w:r w:rsidR="000250CF">
        <w:t>i</w:t>
      </w:r>
      <w:r w:rsidR="000250CF">
        <w:t>gung von Archivböden bei der Lande</w:t>
      </w:r>
      <w:r w:rsidR="000250CF">
        <w:t>s</w:t>
      </w:r>
      <w:r w:rsidR="000250CF">
        <w:t>planung leisten.</w:t>
      </w:r>
    </w:p>
    <w:p w:rsidR="001D66FC" w:rsidRPr="000250CF" w:rsidRDefault="001D66FC" w:rsidP="000250CF"/>
    <w:p w:rsidR="00610566" w:rsidRDefault="00610566" w:rsidP="003E0284">
      <w:pPr>
        <w:pStyle w:val="berschrift1"/>
      </w:pPr>
      <w:r w:rsidRPr="00610566">
        <w:t>Literatur</w:t>
      </w:r>
    </w:p>
    <w:p w:rsidR="00FF0CAB" w:rsidRPr="00FF0CAB" w:rsidRDefault="001501C4" w:rsidP="00FF0CAB">
      <w:pPr>
        <w:spacing w:after="240"/>
        <w:ind w:left="380" w:hanging="380"/>
        <w:rPr>
          <w:rFonts w:cs="Arial"/>
          <w:noProof/>
          <w:sz w:val="20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4" w:name="_ENREF_1"/>
      <w:r w:rsidR="00FF0CAB" w:rsidRPr="00FF0CAB">
        <w:rPr>
          <w:rFonts w:cs="Arial"/>
          <w:noProof/>
          <w:sz w:val="20"/>
        </w:rPr>
        <w:t>Ad-hoc-AG Boden (2005): Bodenkundliche Kartieranleitung. Schweizerbart'sche Verlagsbuchhandlung, Hannover.</w:t>
      </w:r>
      <w:bookmarkEnd w:id="4"/>
    </w:p>
    <w:p w:rsidR="00FF0CAB" w:rsidRPr="00FF0CAB" w:rsidRDefault="00FF0CAB" w:rsidP="00FF0CAB">
      <w:pPr>
        <w:spacing w:after="240"/>
        <w:ind w:left="380" w:hanging="380"/>
        <w:rPr>
          <w:rFonts w:cs="Arial"/>
          <w:noProof/>
          <w:sz w:val="20"/>
        </w:rPr>
      </w:pPr>
      <w:bookmarkStart w:id="5" w:name="_ENREF_2"/>
      <w:r w:rsidRPr="00FF0CAB">
        <w:rPr>
          <w:rFonts w:cs="Arial"/>
          <w:noProof/>
          <w:sz w:val="20"/>
        </w:rPr>
        <w:t>Bund/Länder-Arbeitsgemeinschaft Bodenschutz (LABO) (2011): Archivböden: Empfehlungen zur Bewertung und zum Schutz von Böden mit besonderer Funktion als Archiv der Natur- und Kulturgeschichte. Bund/Länder-Arbeitsgemeinschaft Bodenschutz (LABO).</w:t>
      </w:r>
      <w:bookmarkEnd w:id="5"/>
    </w:p>
    <w:p w:rsidR="00FF0CAB" w:rsidRPr="00FF0CAB" w:rsidRDefault="00FF0CAB" w:rsidP="00FF0CAB">
      <w:pPr>
        <w:ind w:left="380" w:hanging="380"/>
        <w:rPr>
          <w:rFonts w:cs="Arial"/>
          <w:noProof/>
          <w:sz w:val="20"/>
        </w:rPr>
      </w:pPr>
      <w:bookmarkStart w:id="6" w:name="_ENREF_3"/>
      <w:r w:rsidRPr="00FF0CAB">
        <w:rPr>
          <w:rFonts w:cs="Arial"/>
          <w:noProof/>
          <w:sz w:val="20"/>
        </w:rPr>
        <w:t>Bundesministerium der Justiz (1998): Gesetz zum Schutz vor schädlichen Bodenveränderungen und zur Sanierung von Altlasten (Bundes-Bodenschutzgesetz - BBodSchG):</w:t>
      </w:r>
      <w:r w:rsidRPr="00FF0CAB">
        <w:rPr>
          <w:rFonts w:cs="Arial"/>
          <w:b/>
          <w:noProof/>
          <w:sz w:val="20"/>
        </w:rPr>
        <w:t xml:space="preserve"> </w:t>
      </w:r>
      <w:r w:rsidRPr="00FF0CAB">
        <w:rPr>
          <w:rFonts w:cs="Arial"/>
          <w:noProof/>
          <w:sz w:val="20"/>
        </w:rPr>
        <w:t>11.</w:t>
      </w:r>
      <w:bookmarkEnd w:id="6"/>
    </w:p>
    <w:p w:rsidR="00FF0CAB" w:rsidRDefault="00FF0CAB" w:rsidP="00FF0CAB">
      <w:pPr>
        <w:rPr>
          <w:rFonts w:cs="Arial"/>
          <w:noProof/>
          <w:sz w:val="20"/>
        </w:rPr>
      </w:pPr>
    </w:p>
    <w:p w:rsidR="000250CF" w:rsidRPr="000250CF" w:rsidRDefault="001501C4" w:rsidP="000250CF">
      <w:r>
        <w:fldChar w:fldCharType="end"/>
      </w:r>
    </w:p>
    <w:sectPr w:rsidR="000250CF" w:rsidRPr="000250CF" w:rsidSect="00741297">
      <w:pgSz w:w="11906" w:h="16838"/>
      <w:pgMar w:top="1134" w:right="1134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9D" w:rsidRDefault="00F7719D" w:rsidP="00FB6F87">
      <w:pPr>
        <w:spacing w:after="0"/>
      </w:pPr>
      <w:r>
        <w:separator/>
      </w:r>
    </w:p>
  </w:endnote>
  <w:endnote w:type="continuationSeparator" w:id="0">
    <w:p w:rsidR="00F7719D" w:rsidRDefault="00F7719D" w:rsidP="00FB6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9D" w:rsidRDefault="00F7719D" w:rsidP="00FB6F87">
      <w:pPr>
        <w:spacing w:after="0"/>
      </w:pPr>
      <w:r>
        <w:separator/>
      </w:r>
    </w:p>
  </w:footnote>
  <w:footnote w:type="continuationSeparator" w:id="0">
    <w:p w:rsidR="00F7719D" w:rsidRDefault="00F7719D" w:rsidP="00FB6F87">
      <w:pPr>
        <w:spacing w:after="0"/>
      </w:pPr>
      <w:r>
        <w:continuationSeparator/>
      </w:r>
    </w:p>
  </w:footnote>
  <w:footnote w:id="1">
    <w:p w:rsidR="00703D3C" w:rsidRDefault="00703D3C">
      <w:pPr>
        <w:pStyle w:val="Funotentext"/>
      </w:pPr>
      <w:r>
        <w:rPr>
          <w:rStyle w:val="Funotenzeichen"/>
        </w:rPr>
        <w:footnoteRef/>
      </w:r>
      <w:r>
        <w:t xml:space="preserve"> Institut für Pflanzenernährung und Bodenku</w:t>
      </w:r>
      <w:r>
        <w:t>n</w:t>
      </w:r>
      <w:r>
        <w:t>de, Christian-Albrechts-Universität zu Kiel</w:t>
      </w:r>
    </w:p>
  </w:footnote>
  <w:footnote w:id="2">
    <w:p w:rsidR="00703D3C" w:rsidRDefault="00703D3C">
      <w:pPr>
        <w:pStyle w:val="Funotentext"/>
      </w:pPr>
      <w:r>
        <w:rPr>
          <w:rStyle w:val="Funotenzeichen"/>
        </w:rPr>
        <w:footnoteRef/>
      </w:r>
      <w:r>
        <w:t xml:space="preserve"> Landesamt für Landwirtschaft, Umwelt und ländliche Räume (LLUR) Schleswig-Holstein, </w:t>
      </w:r>
      <w:proofErr w:type="spellStart"/>
      <w:r>
        <w:t>Flintbek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0C6"/>
    <w:multiLevelType w:val="hybridMultilevel"/>
    <w:tmpl w:val="FC62E3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63423"/>
    <w:multiLevelType w:val="hybridMultilevel"/>
    <w:tmpl w:val="E730AD12"/>
    <w:lvl w:ilvl="0" w:tplc="BAD4F2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D23C67"/>
    <w:multiLevelType w:val="hybridMultilevel"/>
    <w:tmpl w:val="39029046"/>
    <w:lvl w:ilvl="0" w:tplc="BAD4F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rchivböden-Abschlussbericht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396&lt;/HangingIndent&gt;&lt;LineSpacing&gt;0&lt;/LineSpacing&gt;&lt;SpaceAfter&gt;1&lt;/SpaceAfter&gt;&lt;HyperlinksEnabled&gt;1&lt;/HyperlinksEnabled&gt;&lt;HyperlinksVisible&gt;0&lt;/HyperlinksVisible&gt;&lt;/ENLayout&gt;"/>
    <w:docVar w:name="EN.Libraries" w:val="&lt;Libraries&gt;&lt;item db-id=&quot;teaz0z5z820p9bex95tv9ztydd50tsdsafwa&quot;&gt;zwischen_unfiled&lt;record-ids&gt;&lt;item&gt;718&lt;/item&gt;&lt;item&gt;3343&lt;/item&gt;&lt;item&gt;3562&lt;/item&gt;&lt;/record-ids&gt;&lt;/item&gt;&lt;/Libraries&gt;"/>
  </w:docVars>
  <w:rsids>
    <w:rsidRoot w:val="00FB6F87"/>
    <w:rsid w:val="000133F2"/>
    <w:rsid w:val="000250CF"/>
    <w:rsid w:val="000347B9"/>
    <w:rsid w:val="0003602C"/>
    <w:rsid w:val="00074CB2"/>
    <w:rsid w:val="00117462"/>
    <w:rsid w:val="001501C4"/>
    <w:rsid w:val="001768A0"/>
    <w:rsid w:val="001D66FC"/>
    <w:rsid w:val="001F0BBF"/>
    <w:rsid w:val="002B5B40"/>
    <w:rsid w:val="002D3F7A"/>
    <w:rsid w:val="003E0284"/>
    <w:rsid w:val="0043700D"/>
    <w:rsid w:val="00462535"/>
    <w:rsid w:val="004E55A6"/>
    <w:rsid w:val="005351D3"/>
    <w:rsid w:val="00547DD3"/>
    <w:rsid w:val="005705DB"/>
    <w:rsid w:val="00590780"/>
    <w:rsid w:val="00610566"/>
    <w:rsid w:val="0063035C"/>
    <w:rsid w:val="00651FDD"/>
    <w:rsid w:val="006863F5"/>
    <w:rsid w:val="00703D3C"/>
    <w:rsid w:val="00741297"/>
    <w:rsid w:val="00794A6D"/>
    <w:rsid w:val="007B467B"/>
    <w:rsid w:val="00863E49"/>
    <w:rsid w:val="008A3732"/>
    <w:rsid w:val="008C2B6F"/>
    <w:rsid w:val="008C48E4"/>
    <w:rsid w:val="009B6A9A"/>
    <w:rsid w:val="009D7C8F"/>
    <w:rsid w:val="00B00646"/>
    <w:rsid w:val="00B309D6"/>
    <w:rsid w:val="00BF1CF1"/>
    <w:rsid w:val="00C85AEF"/>
    <w:rsid w:val="00CF3BB5"/>
    <w:rsid w:val="00D03644"/>
    <w:rsid w:val="00D43E48"/>
    <w:rsid w:val="00DD3CAB"/>
    <w:rsid w:val="00DF3391"/>
    <w:rsid w:val="00E910A0"/>
    <w:rsid w:val="00EA253D"/>
    <w:rsid w:val="00EC7EA8"/>
    <w:rsid w:val="00F7719D"/>
    <w:rsid w:val="00FB6F87"/>
    <w:rsid w:val="00FF0CAB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0566"/>
    <w:pPr>
      <w:spacing w:after="120" w:line="24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0566"/>
    <w:pPr>
      <w:spacing w:before="240" w:after="0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6F8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6F87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6F87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B6F8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0566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B4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5B40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2B5B40"/>
    <w:pPr>
      <w:spacing w:after="20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qFormat/>
    <w:rsid w:val="001F0BB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63E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3E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3E4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3E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3E49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0566"/>
    <w:pPr>
      <w:spacing w:after="120" w:line="24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0566"/>
    <w:pPr>
      <w:spacing w:before="240" w:after="0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6F8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6F87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6F87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B6F8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0566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B4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5B40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2B5B40"/>
    <w:pPr>
      <w:spacing w:after="20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qFormat/>
    <w:rsid w:val="001F0BB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63E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3E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3E4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3E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3E4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460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43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40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93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75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81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67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40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00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73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82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40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08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01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30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85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1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94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dbge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0D43-EC89-44D6-9337-5C9A7BF4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1657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CAU Kiel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Holthusen, Doerthe</dc:creator>
  <cp:lastModifiedBy>Holthusen, Doerthe</cp:lastModifiedBy>
  <cp:revision>13</cp:revision>
  <dcterms:created xsi:type="dcterms:W3CDTF">2013-09-23T11:03:00Z</dcterms:created>
  <dcterms:modified xsi:type="dcterms:W3CDTF">2013-11-08T15:50:00Z</dcterms:modified>
</cp:coreProperties>
</file>